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48"/>
          <w:szCs w:val="28"/>
        </w:rPr>
      </w:pPr>
    </w:p>
    <w:p>
      <w:pPr>
        <w:jc w:val="center"/>
        <w:rPr>
          <w:rFonts w:asciiTheme="minorEastAsia" w:hAnsiTheme="minorEastAsia"/>
          <w:b/>
          <w:sz w:val="48"/>
          <w:szCs w:val="28"/>
        </w:rPr>
      </w:pPr>
      <w:r>
        <w:rPr>
          <w:rFonts w:hint="eastAsia" w:asciiTheme="minorEastAsia" w:hAnsiTheme="minorEastAsia"/>
          <w:b/>
          <w:sz w:val="48"/>
          <w:szCs w:val="28"/>
        </w:rPr>
        <w:t>建</w:t>
      </w:r>
    </w:p>
    <w:p>
      <w:pPr>
        <w:jc w:val="center"/>
        <w:rPr>
          <w:rFonts w:asciiTheme="minorEastAsia" w:hAnsiTheme="minorEastAsia"/>
          <w:b/>
          <w:sz w:val="48"/>
          <w:szCs w:val="28"/>
        </w:rPr>
      </w:pPr>
      <w:r>
        <w:rPr>
          <w:rFonts w:hint="eastAsia" w:asciiTheme="minorEastAsia" w:hAnsiTheme="minorEastAsia"/>
          <w:b/>
          <w:sz w:val="48"/>
          <w:szCs w:val="28"/>
        </w:rPr>
        <w:t>设</w:t>
      </w:r>
    </w:p>
    <w:p>
      <w:pPr>
        <w:jc w:val="center"/>
        <w:rPr>
          <w:rFonts w:asciiTheme="minorEastAsia" w:hAnsiTheme="minorEastAsia"/>
          <w:b/>
          <w:sz w:val="48"/>
          <w:szCs w:val="28"/>
        </w:rPr>
      </w:pPr>
      <w:r>
        <w:rPr>
          <w:rFonts w:hint="eastAsia" w:asciiTheme="minorEastAsia" w:hAnsiTheme="minorEastAsia"/>
          <w:b/>
          <w:sz w:val="48"/>
          <w:szCs w:val="28"/>
        </w:rPr>
        <w:t>工</w:t>
      </w:r>
    </w:p>
    <w:p>
      <w:pPr>
        <w:jc w:val="center"/>
        <w:rPr>
          <w:rFonts w:asciiTheme="minorEastAsia" w:hAnsiTheme="minorEastAsia"/>
          <w:b/>
          <w:sz w:val="48"/>
          <w:szCs w:val="28"/>
        </w:rPr>
      </w:pPr>
      <w:r>
        <w:rPr>
          <w:rFonts w:hint="eastAsia" w:asciiTheme="minorEastAsia" w:hAnsiTheme="minorEastAsia"/>
          <w:b/>
          <w:sz w:val="48"/>
          <w:szCs w:val="28"/>
        </w:rPr>
        <w:t>程</w:t>
      </w:r>
    </w:p>
    <w:p>
      <w:pPr>
        <w:jc w:val="center"/>
        <w:rPr>
          <w:rFonts w:asciiTheme="minorEastAsia" w:hAnsiTheme="minorEastAsia"/>
          <w:b/>
          <w:sz w:val="48"/>
          <w:szCs w:val="28"/>
        </w:rPr>
      </w:pPr>
      <w:r>
        <w:rPr>
          <w:rFonts w:hint="eastAsia" w:asciiTheme="minorEastAsia" w:hAnsiTheme="minorEastAsia"/>
          <w:b/>
          <w:sz w:val="48"/>
          <w:szCs w:val="28"/>
        </w:rPr>
        <w:t>安</w:t>
      </w:r>
    </w:p>
    <w:p>
      <w:pPr>
        <w:jc w:val="center"/>
        <w:rPr>
          <w:rFonts w:asciiTheme="minorEastAsia" w:hAnsiTheme="minorEastAsia"/>
          <w:b/>
          <w:sz w:val="48"/>
          <w:szCs w:val="28"/>
        </w:rPr>
      </w:pPr>
      <w:r>
        <w:rPr>
          <w:rFonts w:hint="eastAsia" w:asciiTheme="minorEastAsia" w:hAnsiTheme="minorEastAsia"/>
          <w:b/>
          <w:sz w:val="48"/>
          <w:szCs w:val="28"/>
        </w:rPr>
        <w:t>全</w:t>
      </w:r>
    </w:p>
    <w:p>
      <w:pPr>
        <w:jc w:val="center"/>
        <w:rPr>
          <w:rFonts w:asciiTheme="minorEastAsia" w:hAnsiTheme="minorEastAsia"/>
          <w:b/>
          <w:sz w:val="48"/>
          <w:szCs w:val="28"/>
        </w:rPr>
      </w:pPr>
      <w:r>
        <w:rPr>
          <w:rFonts w:hint="eastAsia" w:asciiTheme="minorEastAsia" w:hAnsiTheme="minorEastAsia"/>
          <w:b/>
          <w:sz w:val="48"/>
          <w:szCs w:val="28"/>
        </w:rPr>
        <w:t>生</w:t>
      </w:r>
    </w:p>
    <w:p>
      <w:pPr>
        <w:jc w:val="center"/>
        <w:rPr>
          <w:rFonts w:asciiTheme="minorEastAsia" w:hAnsiTheme="minorEastAsia"/>
          <w:b/>
          <w:sz w:val="48"/>
          <w:szCs w:val="28"/>
        </w:rPr>
      </w:pPr>
      <w:r>
        <w:rPr>
          <w:rFonts w:hint="eastAsia" w:asciiTheme="minorEastAsia" w:hAnsiTheme="minorEastAsia"/>
          <w:b/>
          <w:sz w:val="48"/>
          <w:szCs w:val="28"/>
        </w:rPr>
        <w:t>产</w:t>
      </w:r>
    </w:p>
    <w:p>
      <w:pPr>
        <w:jc w:val="center"/>
        <w:rPr>
          <w:rFonts w:asciiTheme="minorEastAsia" w:hAnsiTheme="minorEastAsia"/>
          <w:b/>
          <w:sz w:val="48"/>
          <w:szCs w:val="28"/>
        </w:rPr>
      </w:pPr>
      <w:r>
        <w:rPr>
          <w:rFonts w:hint="eastAsia" w:asciiTheme="minorEastAsia" w:hAnsiTheme="minorEastAsia"/>
          <w:b/>
          <w:sz w:val="48"/>
          <w:szCs w:val="28"/>
        </w:rPr>
        <w:t>协</w:t>
      </w:r>
    </w:p>
    <w:p>
      <w:pPr>
        <w:jc w:val="center"/>
        <w:rPr>
          <w:rFonts w:asciiTheme="minorEastAsia" w:hAnsiTheme="minorEastAsia"/>
          <w:b/>
          <w:sz w:val="48"/>
          <w:szCs w:val="28"/>
        </w:rPr>
      </w:pPr>
      <w:r>
        <w:rPr>
          <w:rFonts w:hint="eastAsia" w:asciiTheme="minorEastAsia" w:hAnsiTheme="minorEastAsia"/>
          <w:b/>
          <w:sz w:val="48"/>
          <w:szCs w:val="28"/>
        </w:rPr>
        <w:t>议</w:t>
      </w:r>
    </w:p>
    <w:p>
      <w:pPr>
        <w:jc w:val="center"/>
        <w:rPr>
          <w:rFonts w:asciiTheme="minorEastAsia" w:hAnsiTheme="minorEastAsia"/>
          <w:b/>
          <w:sz w:val="48"/>
          <w:szCs w:val="28"/>
        </w:rPr>
      </w:pPr>
      <w:r>
        <w:rPr>
          <w:rFonts w:hint="eastAsia" w:asciiTheme="minorEastAsia" w:hAnsiTheme="minorEastAsia"/>
          <w:b/>
          <w:sz w:val="48"/>
          <w:szCs w:val="28"/>
        </w:rPr>
        <w:t>书</w:t>
      </w:r>
    </w:p>
    <w:p>
      <w:pPr>
        <w:rPr>
          <w:rFonts w:asciiTheme="minorEastAsia" w:hAnsiTheme="minorEastAsia"/>
          <w:sz w:val="28"/>
          <w:szCs w:val="28"/>
        </w:rPr>
      </w:pPr>
    </w:p>
    <w:p>
      <w:pPr>
        <w:rPr>
          <w:rFonts w:asciiTheme="minorEastAsia" w:hAnsiTheme="minorEastAsia"/>
          <w:sz w:val="28"/>
          <w:szCs w:val="28"/>
        </w:rPr>
      </w:pPr>
    </w:p>
    <w:p>
      <w:pPr>
        <w:ind w:firstLine="1546" w:firstLineChars="550"/>
        <w:rPr>
          <w:rFonts w:asciiTheme="minorEastAsia" w:hAnsiTheme="minorEastAsia"/>
          <w:b/>
          <w:sz w:val="28"/>
          <w:szCs w:val="28"/>
        </w:rPr>
      </w:pPr>
    </w:p>
    <w:p>
      <w:pPr>
        <w:ind w:firstLine="1546" w:firstLineChars="550"/>
        <w:rPr>
          <w:rFonts w:asciiTheme="minorEastAsia" w:hAnsiTheme="minorEastAsia"/>
          <w:b/>
          <w:sz w:val="28"/>
          <w:szCs w:val="28"/>
          <w:u w:val="single"/>
        </w:rPr>
      </w:pPr>
      <w:r>
        <w:rPr>
          <w:rFonts w:hint="eastAsia" w:asciiTheme="minorEastAsia" w:hAnsiTheme="minorEastAsia"/>
          <w:b/>
          <w:sz w:val="28"/>
          <w:szCs w:val="28"/>
        </w:rPr>
        <w:t>甲方</w:t>
      </w:r>
      <w:r>
        <w:rPr>
          <w:rFonts w:asciiTheme="minorEastAsia" w:hAnsiTheme="minorEastAsia"/>
          <w:b/>
          <w:sz w:val="28"/>
          <w:szCs w:val="28"/>
        </w:rPr>
        <w:t>：</w:t>
      </w:r>
      <w:r>
        <w:rPr>
          <w:rFonts w:hint="eastAsia" w:asciiTheme="minorEastAsia" w:hAnsiTheme="minorEastAsia"/>
          <w:b/>
          <w:sz w:val="28"/>
          <w:szCs w:val="28"/>
          <w:u w:val="single"/>
        </w:rPr>
        <w:t xml:space="preserve">  </w:t>
      </w:r>
      <w:r>
        <w:rPr>
          <w:rFonts w:hint="eastAsia" w:asciiTheme="minorEastAsia" w:hAnsiTheme="minorEastAsia"/>
          <w:b/>
          <w:sz w:val="28"/>
          <w:szCs w:val="28"/>
          <w:u w:val="single"/>
          <w:lang w:val="en-US" w:eastAsia="zh-CN"/>
        </w:rPr>
        <w:t xml:space="preserve">                              </w:t>
      </w:r>
      <w:r>
        <w:rPr>
          <w:rFonts w:hint="eastAsia" w:asciiTheme="minorEastAsia" w:hAnsiTheme="minorEastAsia"/>
          <w:b/>
          <w:sz w:val="28"/>
          <w:szCs w:val="28"/>
          <w:u w:val="single"/>
        </w:rPr>
        <w:t xml:space="preserve"> </w:t>
      </w:r>
    </w:p>
    <w:p>
      <w:pPr>
        <w:ind w:firstLine="1546" w:firstLineChars="550"/>
        <w:rPr>
          <w:rFonts w:asciiTheme="minorEastAsia" w:hAnsiTheme="minorEastAsia"/>
          <w:b/>
          <w:sz w:val="28"/>
          <w:szCs w:val="28"/>
        </w:rPr>
      </w:pPr>
    </w:p>
    <w:p>
      <w:pPr>
        <w:ind w:firstLine="1546" w:firstLineChars="550"/>
        <w:rPr>
          <w:rFonts w:asciiTheme="minorEastAsia" w:hAnsiTheme="minorEastAsia"/>
          <w:b/>
          <w:sz w:val="28"/>
          <w:szCs w:val="28"/>
          <w:u w:val="single"/>
        </w:rPr>
      </w:pPr>
      <w:r>
        <w:rPr>
          <w:rFonts w:hint="eastAsia" w:asciiTheme="minorEastAsia" w:hAnsiTheme="minorEastAsia"/>
          <w:b/>
          <w:sz w:val="28"/>
          <w:szCs w:val="28"/>
        </w:rPr>
        <w:t>乙方：</w:t>
      </w:r>
      <w:r>
        <w:rPr>
          <w:rFonts w:hint="eastAsia" w:asciiTheme="minorEastAsia" w:hAnsiTheme="minorEastAsia"/>
          <w:b/>
          <w:sz w:val="28"/>
          <w:szCs w:val="28"/>
          <w:u w:val="single"/>
        </w:rPr>
        <w:t xml:space="preserve"> </w:t>
      </w:r>
      <w:r>
        <w:rPr>
          <w:rFonts w:asciiTheme="minorEastAsia" w:hAnsiTheme="minorEastAsia"/>
          <w:b/>
          <w:sz w:val="28"/>
          <w:szCs w:val="28"/>
          <w:u w:val="single"/>
        </w:rPr>
        <w:t xml:space="preserve">  </w:t>
      </w:r>
      <w:r>
        <w:rPr>
          <w:rFonts w:hint="eastAsia" w:asciiTheme="minorEastAsia" w:hAnsiTheme="minorEastAsia"/>
          <w:b/>
          <w:sz w:val="28"/>
          <w:szCs w:val="28"/>
          <w:u w:val="single"/>
          <w:lang w:val="en-US" w:eastAsia="zh-CN"/>
        </w:rPr>
        <w:t xml:space="preserve">                         </w:t>
      </w:r>
      <w:r>
        <w:rPr>
          <w:rFonts w:asciiTheme="minorEastAsia" w:hAnsiTheme="minorEastAsia"/>
          <w:b/>
          <w:sz w:val="28"/>
          <w:szCs w:val="28"/>
          <w:u w:val="single"/>
        </w:rPr>
        <w:t xml:space="preserve">    </w:t>
      </w:r>
      <w:r>
        <w:rPr>
          <w:rFonts w:hint="eastAsia" w:asciiTheme="minorEastAsia" w:hAnsiTheme="minorEastAsia"/>
          <w:b/>
          <w:sz w:val="28"/>
          <w:szCs w:val="28"/>
          <w:u w:val="single"/>
        </w:rPr>
        <w:t xml:space="preserve"> </w:t>
      </w:r>
    </w:p>
    <w:p>
      <w:pPr>
        <w:rPr>
          <w:rFonts w:asciiTheme="minorEastAsia" w:hAnsiTheme="minorEastAsia"/>
          <w:b/>
          <w:sz w:val="28"/>
          <w:szCs w:val="28"/>
          <w:u w:val="single"/>
        </w:rPr>
      </w:pPr>
    </w:p>
    <w:p>
      <w:pPr>
        <w:spacing w:before="50" w:line="360" w:lineRule="auto"/>
        <w:ind w:firstLine="422" w:firstLineChars="150"/>
        <w:rPr>
          <w:rFonts w:asciiTheme="minorEastAsia" w:hAnsiTheme="minorEastAsia" w:eastAsiaTheme="minorEastAsia"/>
          <w:b/>
          <w:sz w:val="28"/>
          <w:szCs w:val="28"/>
          <w:u w:val="single"/>
        </w:rPr>
      </w:pPr>
      <w:r>
        <w:rPr>
          <w:rFonts w:hint="eastAsia" w:asciiTheme="minorEastAsia" w:hAnsiTheme="minorEastAsia"/>
          <w:b/>
          <w:sz w:val="28"/>
          <w:szCs w:val="28"/>
        </w:rPr>
        <w:t>协议有效</w:t>
      </w:r>
      <w:r>
        <w:rPr>
          <w:rFonts w:asciiTheme="minorEastAsia" w:hAnsiTheme="minorEastAsia"/>
          <w:b/>
          <w:sz w:val="28"/>
          <w:szCs w:val="28"/>
        </w:rPr>
        <w:t>日期：</w:t>
      </w:r>
      <w:r>
        <w:rPr>
          <w:rFonts w:hint="eastAsia" w:asciiTheme="minorEastAsia" w:hAnsiTheme="minorEastAsia"/>
          <w:b/>
          <w:sz w:val="28"/>
          <w:szCs w:val="28"/>
          <w:u w:val="single"/>
        </w:rPr>
        <w:t xml:space="preserve">   </w:t>
      </w:r>
      <w:r>
        <w:rPr>
          <w:rFonts w:hint="eastAsia" w:asciiTheme="minorEastAsia" w:hAnsiTheme="minorEastAsia" w:eastAsiaTheme="minorEastAsia"/>
          <w:b/>
          <w:sz w:val="28"/>
          <w:szCs w:val="28"/>
          <w:u w:val="single"/>
          <w:lang w:val="en-US" w:eastAsia="zh-CN"/>
        </w:rPr>
        <w:t xml:space="preserve">                             </w:t>
      </w:r>
    </w:p>
    <w:p>
      <w:pPr>
        <w:spacing w:before="50" w:line="360" w:lineRule="auto"/>
        <w:rPr>
          <w:rFonts w:ascii="仿宋_GB2312" w:eastAsia="仿宋_GB2312"/>
          <w:sz w:val="28"/>
          <w:szCs w:val="28"/>
        </w:rPr>
      </w:pPr>
    </w:p>
    <w:p>
      <w:pPr>
        <w:spacing w:before="50" w:line="360" w:lineRule="auto"/>
        <w:rPr>
          <w:rFonts w:ascii="仿宋_GB2312" w:eastAsia="仿宋_GB2312"/>
          <w:sz w:val="28"/>
          <w:szCs w:val="28"/>
        </w:rPr>
      </w:pPr>
    </w:p>
    <w:p>
      <w:pPr>
        <w:spacing w:before="50" w:line="360" w:lineRule="auto"/>
        <w:ind w:firstLine="700" w:firstLineChars="250"/>
        <w:rPr>
          <w:rFonts w:ascii="仿宋_GB2312" w:eastAsia="仿宋_GB2312"/>
          <w:sz w:val="28"/>
          <w:szCs w:val="28"/>
        </w:rPr>
      </w:pPr>
      <w:r>
        <w:rPr>
          <w:rFonts w:hint="eastAsia" w:ascii="仿宋_GB2312" w:eastAsia="仿宋_GB2312"/>
          <w:sz w:val="28"/>
          <w:szCs w:val="28"/>
        </w:rPr>
        <w:t>为贯彻执行国家“安全第一、预防为主，综合治理”的安全生产方针，进一步强化落实安全生产主体责任，实现深南一号项目的高品质，保障从业人员的职业健康安全，预防生产安全事故的发生，全面实现甲方安全生产目标。根据国家《安全生产法》、</w:t>
      </w:r>
      <w:r>
        <w:rPr>
          <w:rFonts w:ascii="仿宋_GB2312" w:eastAsia="仿宋_GB2312"/>
          <w:sz w:val="28"/>
          <w:szCs w:val="28"/>
        </w:rPr>
        <w:t>《</w:t>
      </w:r>
      <w:r>
        <w:rPr>
          <w:rFonts w:hint="eastAsia" w:ascii="仿宋_GB2312" w:eastAsia="仿宋_GB2312"/>
          <w:sz w:val="28"/>
          <w:szCs w:val="28"/>
        </w:rPr>
        <w:t>中华人民共和国</w:t>
      </w:r>
      <w:r>
        <w:rPr>
          <w:rFonts w:ascii="仿宋_GB2312" w:eastAsia="仿宋_GB2312"/>
          <w:sz w:val="28"/>
          <w:szCs w:val="28"/>
        </w:rPr>
        <w:t>建筑法》</w:t>
      </w:r>
      <w:r>
        <w:rPr>
          <w:rFonts w:hint="eastAsia" w:ascii="仿宋_GB2312" w:eastAsia="仿宋_GB2312"/>
          <w:sz w:val="28"/>
          <w:szCs w:val="28"/>
        </w:rPr>
        <w:t>、《建设工程安全生产管理条例》、等法律法规、华润集团、华润置地及甲方有关管理规定，甲乙双方签订本协议书，以明确甲乙双方安全生产责任</w:t>
      </w:r>
      <w:r>
        <w:rPr>
          <w:rFonts w:ascii="仿宋_GB2312" w:eastAsia="仿宋_GB2312"/>
          <w:sz w:val="28"/>
          <w:szCs w:val="28"/>
        </w:rPr>
        <w:t>及</w:t>
      </w:r>
      <w:r>
        <w:rPr>
          <w:rFonts w:hint="eastAsia" w:ascii="仿宋_GB2312" w:eastAsia="仿宋_GB2312"/>
          <w:sz w:val="28"/>
          <w:szCs w:val="28"/>
        </w:rPr>
        <w:t>管理目标。</w:t>
      </w:r>
    </w:p>
    <w:p>
      <w:pPr>
        <w:spacing w:line="360" w:lineRule="auto"/>
        <w:ind w:firstLine="562" w:firstLineChars="200"/>
        <w:rPr>
          <w:rFonts w:ascii="仿宋_GB2312" w:eastAsia="仿宋_GB2312"/>
          <w:b/>
          <w:sz w:val="28"/>
          <w:szCs w:val="28"/>
        </w:rPr>
      </w:pPr>
      <w:r>
        <w:rPr>
          <w:rFonts w:hint="eastAsia" w:ascii="仿宋_GB2312" w:eastAsia="仿宋_GB2312"/>
          <w:b/>
          <w:sz w:val="28"/>
          <w:szCs w:val="28"/>
        </w:rPr>
        <w:t>一、乙方责任</w:t>
      </w:r>
    </w:p>
    <w:p>
      <w:pPr>
        <w:spacing w:line="360" w:lineRule="auto"/>
        <w:rPr>
          <w:rFonts w:ascii="仿宋_GB2312" w:eastAsia="仿宋_GB2312"/>
          <w:sz w:val="28"/>
          <w:szCs w:val="28"/>
        </w:rPr>
      </w:pPr>
      <w:r>
        <w:rPr>
          <w:rFonts w:ascii="仿宋_GB2312" w:eastAsia="仿宋_GB2312"/>
          <w:sz w:val="28"/>
          <w:szCs w:val="28"/>
        </w:rPr>
        <w:t xml:space="preserve">    1.</w:t>
      </w:r>
      <w:r>
        <w:rPr>
          <w:rFonts w:hint="eastAsia" w:ascii="仿宋_GB2312" w:eastAsia="仿宋_GB2312"/>
          <w:sz w:val="28"/>
          <w:szCs w:val="28"/>
        </w:rPr>
        <w:t>乙方对施工现场安全生产负有全面责任。乙方必须建立健全安全生产管理体系。乙方企业法人为安全生产第一责任人，对本企业的安全生产负责。</w:t>
      </w:r>
    </w:p>
    <w:p>
      <w:pPr>
        <w:spacing w:line="360" w:lineRule="auto"/>
        <w:rPr>
          <w:rFonts w:ascii="仿宋_GB2312" w:eastAsia="仿宋_GB2312"/>
          <w:sz w:val="28"/>
          <w:szCs w:val="28"/>
        </w:rPr>
      </w:pPr>
      <w:r>
        <w:rPr>
          <w:rFonts w:ascii="仿宋_GB2312" w:eastAsia="仿宋_GB2312"/>
          <w:sz w:val="28"/>
          <w:szCs w:val="28"/>
        </w:rPr>
        <w:t xml:space="preserve">    2.</w:t>
      </w:r>
      <w:r>
        <w:rPr>
          <w:rFonts w:hint="eastAsia" w:ascii="仿宋_GB2312" w:eastAsia="仿宋_GB2312"/>
          <w:sz w:val="28"/>
          <w:szCs w:val="28"/>
        </w:rPr>
        <w:t>乙方施工现场必须建立健全安全生产责任制、制定安全生产规章制度和操作规程，乙方项目经理为施工现场安全管理直接责任人，负责本项目安全生产的组织与实施，项目部要设立安全生产管理机构，按合同</w:t>
      </w:r>
      <w:r>
        <w:rPr>
          <w:rFonts w:ascii="仿宋_GB2312" w:eastAsia="仿宋_GB2312"/>
          <w:sz w:val="28"/>
          <w:szCs w:val="28"/>
        </w:rPr>
        <w:t>要求</w:t>
      </w:r>
      <w:r>
        <w:rPr>
          <w:rFonts w:hint="eastAsia" w:ascii="仿宋_GB2312" w:eastAsia="仿宋_GB2312"/>
          <w:sz w:val="28"/>
          <w:szCs w:val="28"/>
        </w:rPr>
        <w:t>配备专职安全生产管理人员。</w:t>
      </w:r>
    </w:p>
    <w:p>
      <w:pPr>
        <w:spacing w:line="360" w:lineRule="auto"/>
        <w:rPr>
          <w:rFonts w:ascii="仿宋_GB2312" w:eastAsia="仿宋_GB2312"/>
          <w:sz w:val="28"/>
          <w:szCs w:val="28"/>
        </w:rPr>
      </w:pPr>
      <w:r>
        <w:rPr>
          <w:rFonts w:ascii="仿宋_GB2312" w:eastAsia="仿宋_GB2312"/>
          <w:sz w:val="28"/>
          <w:szCs w:val="28"/>
        </w:rPr>
        <w:t xml:space="preserve">    3.</w:t>
      </w:r>
      <w:r>
        <w:rPr>
          <w:rFonts w:hint="eastAsia" w:ascii="仿宋_GB2312" w:eastAsia="仿宋_GB2312"/>
          <w:sz w:val="28"/>
          <w:szCs w:val="28"/>
        </w:rPr>
        <w:t>乙方应当根据施工组织设计、工程特点制定相应的安全技术措施和施工现场临时用电方案；对达到一定规模的危险性较大的深基坑和石方爆破工程，应制定专项安全施工方案和事故应急预案，并严格执行。</w:t>
      </w:r>
    </w:p>
    <w:p>
      <w:pPr>
        <w:spacing w:line="360" w:lineRule="auto"/>
        <w:rPr>
          <w:rFonts w:ascii="仿宋_GB2312" w:eastAsia="仿宋_GB2312"/>
          <w:sz w:val="28"/>
          <w:szCs w:val="28"/>
        </w:rPr>
      </w:pPr>
      <w:r>
        <w:rPr>
          <w:rFonts w:ascii="仿宋_GB2312" w:eastAsia="仿宋_GB2312"/>
          <w:sz w:val="28"/>
          <w:szCs w:val="28"/>
        </w:rPr>
        <w:t xml:space="preserve">    4.</w:t>
      </w:r>
      <w:r>
        <w:rPr>
          <w:rFonts w:hint="eastAsia" w:ascii="仿宋_GB2312" w:eastAsia="仿宋_GB2312"/>
          <w:sz w:val="28"/>
          <w:szCs w:val="28"/>
        </w:rPr>
        <w:t>健全施工现场各类安全管理制度，如施工现场定期安全检查与会议制度，施工机械、设备的安全验收制度，技术操作规程及职责，安全技术交底制度，安全内业资料管理制度，施工临时用电规程，安全生产奖罚制度，各类应急预案等。</w:t>
      </w:r>
    </w:p>
    <w:p>
      <w:pPr>
        <w:spacing w:line="360" w:lineRule="auto"/>
        <w:rPr>
          <w:rFonts w:ascii="仿宋_GB2312" w:eastAsia="仿宋_GB2312"/>
          <w:sz w:val="28"/>
          <w:szCs w:val="28"/>
        </w:rPr>
      </w:pPr>
      <w:r>
        <w:rPr>
          <w:rFonts w:ascii="仿宋_GB2312" w:eastAsia="仿宋_GB2312"/>
          <w:sz w:val="28"/>
          <w:szCs w:val="28"/>
        </w:rPr>
        <w:t xml:space="preserve">    5.</w:t>
      </w:r>
      <w:r>
        <w:rPr>
          <w:rFonts w:hint="eastAsia" w:ascii="仿宋_GB2312" w:eastAsia="仿宋_GB2312"/>
          <w:sz w:val="28"/>
          <w:szCs w:val="28"/>
        </w:rPr>
        <w:t>乙方应严格执行国家及建设行政主管部门有关建筑安全的各项法律、法令、法规及行业规章、规程等管理规定。严格执行现行的“一标准三规范”《建筑施工安全检查标准》（</w:t>
      </w:r>
      <w:r>
        <w:rPr>
          <w:rFonts w:ascii="仿宋_GB2312" w:eastAsia="仿宋_GB2312"/>
          <w:sz w:val="28"/>
          <w:szCs w:val="28"/>
        </w:rPr>
        <w:t>JGJ59-2011</w:t>
      </w:r>
      <w:r>
        <w:rPr>
          <w:rFonts w:hint="eastAsia" w:ascii="仿宋_GB2312" w:eastAsia="仿宋_GB2312"/>
          <w:sz w:val="28"/>
          <w:szCs w:val="28"/>
        </w:rPr>
        <w:t>），《建筑施工高处作业安全技术规范》（</w:t>
      </w:r>
      <w:r>
        <w:rPr>
          <w:rFonts w:ascii="仿宋_GB2312" w:eastAsia="仿宋_GB2312"/>
          <w:sz w:val="28"/>
          <w:szCs w:val="28"/>
        </w:rPr>
        <w:t>JGJ80-</w:t>
      </w:r>
      <w:r>
        <w:rPr>
          <w:rFonts w:hint="eastAsia" w:ascii="仿宋_GB2312" w:eastAsia="仿宋_GB2312"/>
          <w:sz w:val="28"/>
          <w:szCs w:val="28"/>
        </w:rPr>
        <w:t>2016），《龙门架及井架物料提升机安全技术规范》（</w:t>
      </w:r>
      <w:r>
        <w:rPr>
          <w:rFonts w:ascii="仿宋_GB2312" w:eastAsia="仿宋_GB2312"/>
          <w:sz w:val="28"/>
          <w:szCs w:val="28"/>
        </w:rPr>
        <w:t>JGJ88-2010</w:t>
      </w:r>
      <w:r>
        <w:rPr>
          <w:rFonts w:hint="eastAsia" w:ascii="仿宋_GB2312" w:eastAsia="仿宋_GB2312"/>
          <w:sz w:val="28"/>
          <w:szCs w:val="28"/>
        </w:rPr>
        <w:t>），《</w:t>
      </w:r>
      <w:r>
        <w:rPr>
          <w:rFonts w:ascii="仿宋_GB2312" w:eastAsia="仿宋_GB2312"/>
          <w:sz w:val="28"/>
          <w:szCs w:val="28"/>
        </w:rPr>
        <w:t>施工现场临时用电安全技术规范</w:t>
      </w:r>
      <w:r>
        <w:rPr>
          <w:rFonts w:hint="eastAsia" w:ascii="仿宋_GB2312" w:eastAsia="仿宋_GB2312"/>
          <w:sz w:val="28"/>
          <w:szCs w:val="28"/>
        </w:rPr>
        <w:t>》</w:t>
      </w:r>
      <w:r>
        <w:rPr>
          <w:rFonts w:ascii="仿宋_GB2312" w:eastAsia="仿宋_GB2312"/>
          <w:sz w:val="28"/>
          <w:szCs w:val="28"/>
        </w:rPr>
        <w:t>（JGJ 46-2005）</w:t>
      </w:r>
      <w:r>
        <w:rPr>
          <w:rFonts w:hint="eastAsia" w:ascii="仿宋_GB2312" w:eastAsia="仿宋_GB2312"/>
          <w:sz w:val="28"/>
          <w:szCs w:val="28"/>
        </w:rPr>
        <w:t>。乙方应根据安全检验评分标准加强安全日常检查，对存在的问题及时整改，并作好记录，严禁各类违章指挥与违章作业。</w:t>
      </w:r>
    </w:p>
    <w:p>
      <w:pPr>
        <w:spacing w:line="360" w:lineRule="auto"/>
        <w:rPr>
          <w:rFonts w:ascii="仿宋_GB2312" w:eastAsia="仿宋_GB2312"/>
          <w:sz w:val="28"/>
          <w:szCs w:val="28"/>
        </w:rPr>
      </w:pPr>
      <w:r>
        <w:rPr>
          <w:rFonts w:ascii="仿宋_GB2312" w:eastAsia="仿宋_GB2312"/>
          <w:sz w:val="28"/>
          <w:szCs w:val="28"/>
        </w:rPr>
        <w:t xml:space="preserve">    6.</w:t>
      </w:r>
      <w:r>
        <w:rPr>
          <w:rFonts w:hint="eastAsia" w:ascii="仿宋_GB2312" w:eastAsia="仿宋_GB2312"/>
          <w:sz w:val="28"/>
          <w:szCs w:val="28"/>
        </w:rPr>
        <w:t>乙方施工现场应具备良好安全保证措施与完善的安全设施。严格执行临边洞口的防护要求，建筑工地四周要求封闭施工，进入现场应设安全通道等，临街面施工必须封闭施工，保证过往行人的人身安全。临时用电设施施工必须先编写临时用电施工方案，并通过规定的审查或评审合格签章程序。施工临时电缆必须采用三相五线制。配电箱必须符合“一机一闸一漏一箱”。</w:t>
      </w:r>
    </w:p>
    <w:p>
      <w:pPr>
        <w:spacing w:line="360" w:lineRule="auto"/>
        <w:rPr>
          <w:rFonts w:ascii="仿宋_GB2312" w:eastAsia="仿宋_GB2312"/>
          <w:sz w:val="28"/>
          <w:szCs w:val="28"/>
        </w:rPr>
      </w:pPr>
      <w:r>
        <w:rPr>
          <w:rFonts w:ascii="仿宋_GB2312" w:eastAsia="仿宋_GB2312"/>
          <w:sz w:val="28"/>
          <w:szCs w:val="28"/>
        </w:rPr>
        <w:t xml:space="preserve">    7.</w:t>
      </w:r>
      <w:r>
        <w:rPr>
          <w:rFonts w:hint="eastAsia" w:ascii="仿宋_GB2312" w:eastAsia="仿宋_GB2312"/>
          <w:sz w:val="28"/>
          <w:szCs w:val="28"/>
        </w:rPr>
        <w:t>乙方应当建立健全劳动安全生产教育培训制度，加强对职工岗位教育培训，提高工人安全防范意识，特种工人必须持证上岗。</w:t>
      </w:r>
    </w:p>
    <w:p>
      <w:pPr>
        <w:spacing w:line="360" w:lineRule="auto"/>
        <w:rPr>
          <w:rFonts w:ascii="仿宋_GB2312" w:eastAsia="仿宋_GB2312"/>
          <w:sz w:val="28"/>
          <w:szCs w:val="28"/>
        </w:rPr>
      </w:pPr>
      <w:r>
        <w:rPr>
          <w:rFonts w:ascii="仿宋_GB2312" w:eastAsia="仿宋_GB2312"/>
          <w:sz w:val="28"/>
          <w:szCs w:val="28"/>
        </w:rPr>
        <w:t xml:space="preserve">    8.</w:t>
      </w:r>
      <w:r>
        <w:rPr>
          <w:rFonts w:hint="eastAsia" w:ascii="仿宋_GB2312" w:eastAsia="仿宋_GB2312"/>
          <w:sz w:val="28"/>
          <w:szCs w:val="28"/>
        </w:rPr>
        <w:t>施工中发生事故时，乙方应当启动应急预案，采取紧急措施，减少人员伤亡和事故损失，并按照国家有关规定及时向有关部门报告。</w:t>
      </w:r>
    </w:p>
    <w:p>
      <w:pPr>
        <w:spacing w:line="360" w:lineRule="auto"/>
        <w:rPr>
          <w:rFonts w:ascii="仿宋_GB2312" w:eastAsia="仿宋_GB2312"/>
          <w:sz w:val="28"/>
          <w:szCs w:val="28"/>
        </w:rPr>
      </w:pPr>
      <w:r>
        <w:rPr>
          <w:rFonts w:ascii="仿宋_GB2312" w:eastAsia="仿宋_GB2312"/>
          <w:sz w:val="28"/>
          <w:szCs w:val="28"/>
        </w:rPr>
        <w:t xml:space="preserve">    9.</w:t>
      </w:r>
      <w:r>
        <w:rPr>
          <w:rFonts w:hint="eastAsia" w:ascii="仿宋_GB2312" w:eastAsia="仿宋_GB2312"/>
          <w:sz w:val="28"/>
          <w:szCs w:val="28"/>
        </w:rPr>
        <w:t>应根据中华人民共和国建筑法第五章四十八条的规定，对施工现场进行意外伤害、伤亡保险。</w:t>
      </w:r>
    </w:p>
    <w:p>
      <w:pPr>
        <w:spacing w:line="360" w:lineRule="auto"/>
        <w:ind w:firstLine="562" w:firstLineChars="200"/>
        <w:rPr>
          <w:rFonts w:ascii="仿宋_GB2312" w:eastAsia="仿宋_GB2312"/>
          <w:b/>
          <w:sz w:val="28"/>
          <w:szCs w:val="28"/>
        </w:rPr>
      </w:pPr>
      <w:r>
        <w:rPr>
          <w:rFonts w:hint="eastAsia" w:ascii="仿宋_GB2312" w:eastAsia="仿宋_GB2312"/>
          <w:b/>
          <w:sz w:val="28"/>
          <w:szCs w:val="28"/>
        </w:rPr>
        <w:t>二、甲方责任</w:t>
      </w:r>
    </w:p>
    <w:p>
      <w:pPr>
        <w:spacing w:line="360" w:lineRule="auto"/>
        <w:rPr>
          <w:rFonts w:ascii="仿宋_GB2312" w:eastAsia="仿宋_GB2312"/>
          <w:sz w:val="28"/>
          <w:szCs w:val="28"/>
        </w:rPr>
      </w:pPr>
      <w:r>
        <w:rPr>
          <w:rFonts w:ascii="仿宋_GB2312" w:eastAsia="仿宋_GB2312"/>
          <w:sz w:val="28"/>
          <w:szCs w:val="28"/>
        </w:rPr>
        <w:t xml:space="preserve">    1.</w:t>
      </w:r>
      <w:r>
        <w:rPr>
          <w:rFonts w:hint="eastAsia" w:ascii="仿宋_GB2312" w:eastAsia="仿宋_GB2312"/>
          <w:sz w:val="28"/>
          <w:szCs w:val="28"/>
        </w:rPr>
        <w:t>甲方应根据国家有关法令法规选择资质符合要求的施工企业承包施工。</w:t>
      </w:r>
    </w:p>
    <w:p>
      <w:pPr>
        <w:spacing w:line="360" w:lineRule="auto"/>
        <w:rPr>
          <w:rFonts w:ascii="仿宋_GB2312" w:eastAsia="仿宋_GB2312"/>
          <w:sz w:val="28"/>
          <w:szCs w:val="28"/>
        </w:rPr>
      </w:pPr>
      <w:r>
        <w:rPr>
          <w:rFonts w:ascii="仿宋_GB2312" w:eastAsia="仿宋_GB2312"/>
          <w:sz w:val="28"/>
          <w:szCs w:val="28"/>
        </w:rPr>
        <w:t xml:space="preserve">    2.</w:t>
      </w:r>
      <w:r>
        <w:rPr>
          <w:rFonts w:hint="eastAsia" w:ascii="仿宋_GB2312" w:eastAsia="仿宋_GB2312"/>
          <w:sz w:val="28"/>
          <w:szCs w:val="28"/>
        </w:rPr>
        <w:t>根据招标投标的有关规定，甲方应履行合同约定的义务，不得任意压级、压价、拖欠工程款等，为确保安全措施经费的足额到位创造条件。</w:t>
      </w:r>
    </w:p>
    <w:p>
      <w:pPr>
        <w:spacing w:line="360" w:lineRule="auto"/>
        <w:rPr>
          <w:rFonts w:ascii="仿宋_GB2312" w:eastAsia="仿宋_GB2312"/>
          <w:sz w:val="28"/>
          <w:szCs w:val="28"/>
        </w:rPr>
      </w:pPr>
      <w:r>
        <w:rPr>
          <w:rFonts w:ascii="仿宋_GB2312" w:eastAsia="仿宋_GB2312"/>
          <w:sz w:val="28"/>
          <w:szCs w:val="28"/>
        </w:rPr>
        <w:t xml:space="preserve">    3.</w:t>
      </w:r>
      <w:r>
        <w:rPr>
          <w:rFonts w:hint="eastAsia" w:ascii="仿宋_GB2312" w:eastAsia="仿宋_GB2312"/>
          <w:sz w:val="28"/>
          <w:szCs w:val="28"/>
        </w:rPr>
        <w:t>工程开工前，甲方应当向乙方提供与施工现场相关的地下管线等各类隐蔽资料，积极配合乙方做好安全准备工作。</w:t>
      </w:r>
    </w:p>
    <w:p>
      <w:pPr>
        <w:spacing w:line="360" w:lineRule="auto"/>
        <w:rPr>
          <w:rFonts w:ascii="仿宋_GB2312" w:eastAsia="仿宋_GB2312"/>
          <w:sz w:val="28"/>
          <w:szCs w:val="28"/>
        </w:rPr>
      </w:pPr>
      <w:r>
        <w:rPr>
          <w:rFonts w:ascii="仿宋_GB2312" w:eastAsia="仿宋_GB2312"/>
          <w:sz w:val="28"/>
          <w:szCs w:val="28"/>
        </w:rPr>
        <w:t xml:space="preserve">    4.</w:t>
      </w:r>
      <w:r>
        <w:rPr>
          <w:rFonts w:hint="eastAsia" w:ascii="仿宋_GB2312" w:eastAsia="仿宋_GB2312"/>
          <w:sz w:val="28"/>
          <w:szCs w:val="28"/>
        </w:rPr>
        <w:t>甲方督促监理单位加强乙方安全工作的监理，按操作规范与规程作业，对施工现场明显存在的安全隐患应及时通知乙方处理整改。</w:t>
      </w:r>
    </w:p>
    <w:p>
      <w:pPr>
        <w:spacing w:line="360" w:lineRule="auto"/>
        <w:ind w:firstLine="562" w:firstLineChars="200"/>
        <w:rPr>
          <w:rFonts w:ascii="仿宋_GB2312" w:eastAsia="仿宋_GB2312"/>
          <w:b/>
          <w:sz w:val="28"/>
          <w:szCs w:val="28"/>
        </w:rPr>
      </w:pPr>
      <w:r>
        <w:rPr>
          <w:rFonts w:hint="eastAsia" w:ascii="仿宋_GB2312" w:eastAsia="仿宋_GB2312"/>
          <w:b/>
          <w:sz w:val="28"/>
          <w:szCs w:val="28"/>
        </w:rPr>
        <w:t>三、本项建设工程安全生产目标</w:t>
      </w:r>
    </w:p>
    <w:p>
      <w:pPr>
        <w:spacing w:line="360" w:lineRule="auto"/>
        <w:ind w:firstLine="420" w:firstLineChars="150"/>
        <w:rPr>
          <w:rFonts w:ascii="仿宋_GB2312" w:eastAsia="仿宋_GB2312"/>
          <w:sz w:val="28"/>
          <w:szCs w:val="28"/>
        </w:rPr>
      </w:pPr>
      <w:r>
        <w:rPr>
          <w:rFonts w:hint="eastAsia" w:ascii="仿宋_GB2312" w:eastAsia="仿宋_GB2312"/>
          <w:sz w:val="28"/>
          <w:szCs w:val="28"/>
        </w:rPr>
        <w:t>（一）乙方安全管理目标承诺</w:t>
      </w:r>
    </w:p>
    <w:p>
      <w:pPr>
        <w:spacing w:line="360" w:lineRule="auto"/>
        <w:ind w:firstLine="420" w:firstLineChars="150"/>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 xml:space="preserve"> </w:t>
      </w:r>
      <w:r>
        <w:rPr>
          <w:rFonts w:hint="eastAsia" w:ascii="仿宋_GB2312" w:eastAsia="仿宋_GB2312"/>
          <w:sz w:val="28"/>
          <w:szCs w:val="28"/>
        </w:rPr>
        <w:t>零死亡；</w:t>
      </w:r>
    </w:p>
    <w:p>
      <w:pPr>
        <w:spacing w:line="360" w:lineRule="auto"/>
        <w:ind w:firstLine="420" w:firstLineChars="150"/>
        <w:rPr>
          <w:rFonts w:ascii="仿宋_GB2312" w:eastAsia="仿宋_GB2312"/>
          <w:sz w:val="28"/>
          <w:szCs w:val="28"/>
        </w:rPr>
      </w:pPr>
      <w:r>
        <w:rPr>
          <w:rFonts w:hint="eastAsia" w:ascii="仿宋_GB2312" w:eastAsia="仿宋_GB2312"/>
          <w:sz w:val="28"/>
          <w:szCs w:val="28"/>
        </w:rPr>
        <w:t>2．零</w:t>
      </w:r>
      <w:r>
        <w:rPr>
          <w:rFonts w:ascii="仿宋_GB2312" w:eastAsia="仿宋_GB2312"/>
          <w:sz w:val="28"/>
          <w:szCs w:val="28"/>
        </w:rPr>
        <w:t>重伤</w:t>
      </w:r>
      <w:r>
        <w:rPr>
          <w:rFonts w:hint="eastAsia" w:ascii="仿宋_GB2312" w:eastAsia="仿宋_GB2312"/>
          <w:sz w:val="28"/>
          <w:szCs w:val="28"/>
        </w:rPr>
        <w:t>；</w:t>
      </w:r>
    </w:p>
    <w:p>
      <w:pPr>
        <w:spacing w:line="360" w:lineRule="auto"/>
        <w:ind w:firstLine="420" w:firstLineChars="150"/>
        <w:rPr>
          <w:rFonts w:ascii="仿宋_GB2312" w:eastAsia="仿宋_GB2312"/>
          <w:sz w:val="28"/>
          <w:szCs w:val="28"/>
        </w:rPr>
      </w:pPr>
      <w:r>
        <w:rPr>
          <w:rFonts w:hint="eastAsia" w:ascii="仿宋_GB2312" w:eastAsia="仿宋_GB2312"/>
          <w:sz w:val="28"/>
          <w:szCs w:val="28"/>
        </w:rPr>
        <w:t>3．零职业病；</w:t>
      </w:r>
    </w:p>
    <w:p>
      <w:pPr>
        <w:spacing w:line="360" w:lineRule="auto"/>
        <w:ind w:firstLine="420" w:firstLineChars="150"/>
        <w:rPr>
          <w:rFonts w:ascii="仿宋_GB2312" w:eastAsia="仿宋_GB2312"/>
          <w:sz w:val="28"/>
          <w:szCs w:val="28"/>
        </w:rPr>
      </w:pPr>
      <w:r>
        <w:rPr>
          <w:rFonts w:hint="eastAsia" w:ascii="仿宋_GB2312" w:eastAsia="仿宋_GB2312"/>
          <w:sz w:val="28"/>
          <w:szCs w:val="28"/>
        </w:rPr>
        <w:t>4.</w:t>
      </w:r>
      <w:r>
        <w:rPr>
          <w:rFonts w:ascii="仿宋_GB2312" w:eastAsia="仿宋_GB2312"/>
          <w:sz w:val="28"/>
          <w:szCs w:val="28"/>
        </w:rPr>
        <w:t xml:space="preserve"> </w:t>
      </w:r>
      <w:r>
        <w:rPr>
          <w:rFonts w:hint="eastAsia" w:ascii="仿宋_GB2312" w:eastAsia="仿宋_GB2312"/>
          <w:sz w:val="28"/>
          <w:szCs w:val="28"/>
        </w:rPr>
        <w:t>零坍塌；</w:t>
      </w:r>
    </w:p>
    <w:p>
      <w:pPr>
        <w:spacing w:line="360" w:lineRule="auto"/>
        <w:ind w:firstLine="420" w:firstLineChars="150"/>
        <w:rPr>
          <w:rFonts w:ascii="仿宋_GB2312" w:eastAsia="仿宋_GB2312"/>
          <w:sz w:val="28"/>
          <w:szCs w:val="28"/>
        </w:rPr>
      </w:pPr>
      <w:r>
        <w:rPr>
          <w:rFonts w:hint="eastAsia" w:ascii="仿宋_GB2312" w:eastAsia="仿宋_GB2312"/>
          <w:sz w:val="28"/>
          <w:szCs w:val="28"/>
        </w:rPr>
        <w:t>5. 零中毒</w:t>
      </w:r>
      <w:r>
        <w:rPr>
          <w:rFonts w:ascii="仿宋_GB2312" w:eastAsia="仿宋_GB2312"/>
          <w:sz w:val="28"/>
          <w:szCs w:val="28"/>
        </w:rPr>
        <w:t>；</w:t>
      </w:r>
    </w:p>
    <w:p>
      <w:pPr>
        <w:spacing w:line="360" w:lineRule="auto"/>
        <w:ind w:left="840" w:leftChars="200" w:hanging="420" w:hangingChars="150"/>
        <w:rPr>
          <w:rFonts w:ascii="仿宋_GB2312" w:eastAsia="仿宋_GB2312"/>
          <w:sz w:val="28"/>
          <w:szCs w:val="28"/>
        </w:rPr>
      </w:pPr>
      <w:r>
        <w:rPr>
          <w:rFonts w:hint="eastAsia" w:ascii="仿宋_GB2312" w:eastAsia="仿宋_GB2312"/>
          <w:sz w:val="28"/>
          <w:szCs w:val="28"/>
        </w:rPr>
        <w:t>4.</w:t>
      </w:r>
      <w:r>
        <w:rPr>
          <w:rFonts w:ascii="仿宋_GB2312" w:eastAsia="仿宋_GB2312"/>
          <w:sz w:val="28"/>
          <w:szCs w:val="28"/>
        </w:rPr>
        <w:t xml:space="preserve"> </w:t>
      </w:r>
      <w:r>
        <w:rPr>
          <w:rFonts w:hint="eastAsia" w:ascii="仿宋_GB2312" w:eastAsia="仿宋_GB2312"/>
          <w:sz w:val="28"/>
          <w:szCs w:val="28"/>
        </w:rPr>
        <w:t>不发生对深南一号项目、大区或集团市场形象、社会形象，造成重大负面影响的安全、生产或</w:t>
      </w:r>
      <w:r>
        <w:rPr>
          <w:rFonts w:ascii="仿宋_GB2312" w:eastAsia="仿宋_GB2312"/>
          <w:sz w:val="28"/>
          <w:szCs w:val="28"/>
        </w:rPr>
        <w:t>群体</w:t>
      </w:r>
      <w:r>
        <w:rPr>
          <w:rFonts w:hint="eastAsia" w:ascii="仿宋_GB2312" w:eastAsia="仿宋_GB2312"/>
          <w:sz w:val="28"/>
          <w:szCs w:val="28"/>
        </w:rPr>
        <w:t>事件；</w:t>
      </w:r>
    </w:p>
    <w:p>
      <w:pPr>
        <w:spacing w:line="360" w:lineRule="auto"/>
        <w:ind w:firstLine="420" w:firstLineChars="150"/>
        <w:rPr>
          <w:rFonts w:ascii="仿宋_GB2312" w:eastAsia="仿宋_GB2312"/>
          <w:sz w:val="28"/>
          <w:szCs w:val="28"/>
        </w:rPr>
      </w:pPr>
      <w:r>
        <w:rPr>
          <w:rFonts w:hint="eastAsia" w:ascii="仿宋_GB2312" w:eastAsia="仿宋_GB2312"/>
          <w:sz w:val="28"/>
          <w:szCs w:val="28"/>
        </w:rPr>
        <w:t>5.不发生相关方人身死亡、火灾等事故;</w:t>
      </w:r>
    </w:p>
    <w:p>
      <w:pPr>
        <w:spacing w:line="360" w:lineRule="auto"/>
        <w:ind w:left="414" w:leftChars="197"/>
        <w:rPr>
          <w:rFonts w:ascii="仿宋_GB2312" w:eastAsia="仿宋_GB2312"/>
          <w:sz w:val="28"/>
          <w:szCs w:val="28"/>
        </w:rPr>
      </w:pPr>
      <w:r>
        <w:rPr>
          <w:rFonts w:hint="eastAsia" w:ascii="仿宋_GB2312" w:eastAsia="仿宋_GB2312"/>
          <w:sz w:val="28"/>
          <w:szCs w:val="28"/>
        </w:rPr>
        <w:t>6．安全隐患整改率</w:t>
      </w:r>
      <w:r>
        <w:rPr>
          <w:rFonts w:ascii="仿宋_GB2312" w:eastAsia="仿宋_GB2312"/>
          <w:sz w:val="28"/>
          <w:szCs w:val="28"/>
        </w:rPr>
        <w:t>100%</w:t>
      </w:r>
      <w:r>
        <w:rPr>
          <w:rFonts w:hint="eastAsia" w:ascii="仿宋_GB2312" w:eastAsia="仿宋_GB2312"/>
          <w:sz w:val="28"/>
          <w:szCs w:val="28"/>
        </w:rPr>
        <w:t>（因为客观原因一个月内不能整改完成</w:t>
      </w:r>
      <w:r>
        <w:rPr>
          <w:rFonts w:ascii="仿宋_GB2312" w:eastAsia="仿宋_GB2312"/>
          <w:sz w:val="28"/>
          <w:szCs w:val="28"/>
        </w:rPr>
        <w:t>,</w:t>
      </w:r>
      <w:r>
        <w:rPr>
          <w:rFonts w:hint="eastAsia" w:ascii="仿宋_GB2312" w:eastAsia="仿宋_GB2312"/>
          <w:sz w:val="28"/>
          <w:szCs w:val="28"/>
        </w:rPr>
        <w:t>须制定安全隐患整改方案，控制监测危险源，并报监理审批整改方案）。</w:t>
      </w:r>
    </w:p>
    <w:p>
      <w:pPr>
        <w:spacing w:line="360" w:lineRule="auto"/>
        <w:rPr>
          <w:rFonts w:ascii="仿宋_GB2312" w:eastAsia="仿宋_GB2312"/>
          <w:sz w:val="28"/>
          <w:szCs w:val="28"/>
        </w:rPr>
      </w:pPr>
      <w:r>
        <w:rPr>
          <w:rFonts w:ascii="仿宋_GB2312" w:eastAsia="仿宋_GB2312"/>
          <w:sz w:val="28"/>
          <w:szCs w:val="28"/>
        </w:rPr>
        <w:t xml:space="preserve">   </w:t>
      </w:r>
      <w:r>
        <w:rPr>
          <w:rFonts w:hint="eastAsia" w:ascii="仿宋_GB2312" w:eastAsia="仿宋_GB2312"/>
          <w:sz w:val="28"/>
          <w:szCs w:val="28"/>
        </w:rPr>
        <w:t>（二）乙方安全管理承诺</w:t>
      </w:r>
    </w:p>
    <w:p>
      <w:pPr>
        <w:spacing w:line="360" w:lineRule="auto"/>
        <w:rPr>
          <w:rFonts w:ascii="仿宋_GB2312" w:eastAsia="仿宋_GB2312"/>
          <w:sz w:val="28"/>
          <w:szCs w:val="28"/>
        </w:rPr>
      </w:pPr>
      <w:r>
        <w:rPr>
          <w:rFonts w:ascii="仿宋_GB2312" w:eastAsia="仿宋_GB2312"/>
          <w:sz w:val="28"/>
          <w:szCs w:val="28"/>
        </w:rPr>
        <w:t xml:space="preserve">    1.</w:t>
      </w:r>
      <w:r>
        <w:rPr>
          <w:rFonts w:hint="eastAsia" w:ascii="仿宋_GB2312" w:eastAsia="仿宋_GB2312"/>
          <w:sz w:val="28"/>
          <w:szCs w:val="28"/>
        </w:rPr>
        <w:t>按照施工组织设计中采取的安全措施的项目执行率为</w:t>
      </w:r>
      <w:r>
        <w:rPr>
          <w:rFonts w:ascii="仿宋_GB2312" w:eastAsia="仿宋_GB2312"/>
          <w:sz w:val="28"/>
          <w:szCs w:val="28"/>
        </w:rPr>
        <w:t>100%</w:t>
      </w:r>
      <w:r>
        <w:rPr>
          <w:rFonts w:hint="eastAsia" w:ascii="仿宋_GB2312" w:eastAsia="仿宋_GB2312"/>
          <w:sz w:val="28"/>
          <w:szCs w:val="28"/>
        </w:rPr>
        <w:t>，经费保证率</w:t>
      </w:r>
      <w:r>
        <w:rPr>
          <w:rFonts w:ascii="仿宋_GB2312" w:eastAsia="仿宋_GB2312"/>
          <w:sz w:val="28"/>
          <w:szCs w:val="28"/>
        </w:rPr>
        <w:t>100 %</w:t>
      </w:r>
      <w:r>
        <w:rPr>
          <w:rFonts w:hint="eastAsia" w:ascii="仿宋_GB2312" w:eastAsia="仿宋_GB2312"/>
          <w:sz w:val="28"/>
          <w:szCs w:val="28"/>
        </w:rPr>
        <w:t>。</w:t>
      </w:r>
    </w:p>
    <w:p>
      <w:pPr>
        <w:spacing w:line="360" w:lineRule="auto"/>
        <w:rPr>
          <w:rFonts w:ascii="仿宋_GB2312" w:eastAsia="仿宋_GB2312"/>
          <w:sz w:val="28"/>
          <w:szCs w:val="28"/>
        </w:rPr>
      </w:pPr>
      <w:r>
        <w:rPr>
          <w:rFonts w:ascii="仿宋_GB2312" w:eastAsia="仿宋_GB2312"/>
          <w:sz w:val="28"/>
          <w:szCs w:val="28"/>
        </w:rPr>
        <w:t xml:space="preserve">    2.</w:t>
      </w:r>
      <w:r>
        <w:rPr>
          <w:rFonts w:hint="eastAsia" w:ascii="仿宋_GB2312" w:eastAsia="仿宋_GB2312"/>
          <w:sz w:val="28"/>
          <w:szCs w:val="28"/>
        </w:rPr>
        <w:t>施工现场每月组织</w:t>
      </w:r>
      <w:r>
        <w:rPr>
          <w:rFonts w:ascii="仿宋_GB2312" w:eastAsia="仿宋_GB2312"/>
          <w:sz w:val="28"/>
          <w:szCs w:val="28"/>
        </w:rPr>
        <w:t xml:space="preserve">4 </w:t>
      </w:r>
      <w:r>
        <w:rPr>
          <w:rFonts w:hint="eastAsia" w:ascii="仿宋_GB2312" w:eastAsia="仿宋_GB2312"/>
          <w:sz w:val="28"/>
          <w:szCs w:val="28"/>
        </w:rPr>
        <w:t>次由公司分管领导或项目经理牵头的安全大检查。</w:t>
      </w:r>
    </w:p>
    <w:p>
      <w:pPr>
        <w:spacing w:line="360" w:lineRule="auto"/>
        <w:rPr>
          <w:rFonts w:ascii="仿宋_GB2312" w:eastAsia="仿宋_GB2312"/>
          <w:sz w:val="28"/>
          <w:szCs w:val="28"/>
        </w:rPr>
      </w:pPr>
      <w:r>
        <w:rPr>
          <w:rFonts w:ascii="仿宋_GB2312" w:eastAsia="仿宋_GB2312"/>
          <w:sz w:val="28"/>
          <w:szCs w:val="28"/>
        </w:rPr>
        <w:t xml:space="preserve">    3.</w:t>
      </w:r>
      <w:r>
        <w:rPr>
          <w:rFonts w:hint="eastAsia" w:ascii="仿宋_GB2312" w:eastAsia="仿宋_GB2312"/>
          <w:sz w:val="28"/>
          <w:szCs w:val="28"/>
        </w:rPr>
        <w:t>施工现场各级职能人员岗位责任制，目标责任书的执行率为</w:t>
      </w:r>
      <w:r>
        <w:rPr>
          <w:rFonts w:ascii="仿宋_GB2312" w:eastAsia="仿宋_GB2312"/>
          <w:sz w:val="28"/>
          <w:szCs w:val="28"/>
        </w:rPr>
        <w:t>100%</w:t>
      </w:r>
      <w:r>
        <w:rPr>
          <w:rFonts w:hint="eastAsia" w:ascii="仿宋_GB2312" w:eastAsia="仿宋_GB2312"/>
          <w:sz w:val="28"/>
          <w:szCs w:val="28"/>
        </w:rPr>
        <w:t>。</w:t>
      </w:r>
    </w:p>
    <w:p>
      <w:pPr>
        <w:spacing w:line="360" w:lineRule="auto"/>
        <w:ind w:firstLine="570"/>
        <w:rPr>
          <w:rFonts w:ascii="仿宋_GB2312" w:eastAsia="仿宋_GB2312"/>
          <w:sz w:val="28"/>
          <w:szCs w:val="28"/>
        </w:rPr>
      </w:pPr>
      <w:r>
        <w:rPr>
          <w:rFonts w:ascii="仿宋_GB2312" w:eastAsia="仿宋_GB2312"/>
          <w:sz w:val="28"/>
          <w:szCs w:val="28"/>
        </w:rPr>
        <w:t>4.</w:t>
      </w:r>
      <w:r>
        <w:rPr>
          <w:rFonts w:hint="eastAsia" w:ascii="仿宋_GB2312" w:eastAsia="仿宋_GB2312"/>
          <w:sz w:val="28"/>
          <w:szCs w:val="28"/>
        </w:rPr>
        <w:t>施工现场须按照法规合同要求，设足够数量的专职安全主任或安全员</w:t>
      </w:r>
    </w:p>
    <w:p>
      <w:pPr>
        <w:spacing w:line="360" w:lineRule="atLeast"/>
        <w:ind w:firstLine="480"/>
        <w:rPr>
          <w:rFonts w:ascii="仿宋_GB2312" w:eastAsia="仿宋_GB2312"/>
          <w:sz w:val="28"/>
          <w:szCs w:val="28"/>
        </w:rPr>
      </w:pPr>
      <w:r>
        <w:rPr>
          <w:rFonts w:hint="eastAsia" w:ascii="仿宋_GB2312" w:eastAsia="仿宋_GB2312"/>
          <w:sz w:val="28"/>
          <w:szCs w:val="28"/>
        </w:rPr>
        <w:t xml:space="preserve"> 5．积极配合甲方和总包组织的安全工作会议、检查、评估及其它形式的安全活动；</w:t>
      </w:r>
    </w:p>
    <w:p>
      <w:pPr>
        <w:spacing w:line="360" w:lineRule="auto"/>
        <w:rPr>
          <w:rFonts w:ascii="仿宋_GB2312" w:eastAsia="仿宋_GB2312"/>
          <w:sz w:val="28"/>
          <w:szCs w:val="28"/>
        </w:rPr>
      </w:pPr>
      <w:r>
        <w:rPr>
          <w:rFonts w:ascii="仿宋_GB2312" w:eastAsia="仿宋_GB2312"/>
          <w:sz w:val="28"/>
          <w:szCs w:val="28"/>
        </w:rPr>
        <w:t xml:space="preserve">    </w:t>
      </w:r>
      <w:r>
        <w:rPr>
          <w:rFonts w:hint="eastAsia" w:ascii="仿宋_GB2312" w:eastAsia="仿宋_GB2312"/>
          <w:sz w:val="28"/>
          <w:szCs w:val="28"/>
        </w:rPr>
        <w:t>6</w:t>
      </w:r>
      <w:r>
        <w:rPr>
          <w:rFonts w:ascii="仿宋_GB2312" w:eastAsia="仿宋_GB2312"/>
          <w:sz w:val="28"/>
          <w:szCs w:val="28"/>
        </w:rPr>
        <w:t>.</w:t>
      </w:r>
      <w:r>
        <w:rPr>
          <w:rFonts w:hint="eastAsia" w:ascii="仿宋_GB2312" w:eastAsia="仿宋_GB2312"/>
          <w:sz w:val="28"/>
          <w:szCs w:val="28"/>
        </w:rPr>
        <w:t>施工现场脚手架及高处防护作业工程、施工用电、施工机械及材料运输提升设施验收合格率</w:t>
      </w:r>
      <w:r>
        <w:rPr>
          <w:rFonts w:ascii="仿宋_GB2312" w:eastAsia="仿宋_GB2312"/>
          <w:sz w:val="28"/>
          <w:szCs w:val="28"/>
        </w:rPr>
        <w:t>100%</w:t>
      </w:r>
      <w:r>
        <w:rPr>
          <w:rFonts w:hint="eastAsia" w:ascii="仿宋_GB2312" w:eastAsia="仿宋_GB2312"/>
          <w:sz w:val="28"/>
          <w:szCs w:val="28"/>
        </w:rPr>
        <w:t>。</w:t>
      </w:r>
    </w:p>
    <w:p>
      <w:pPr>
        <w:spacing w:line="360" w:lineRule="auto"/>
        <w:ind w:firstLine="570"/>
        <w:rPr>
          <w:rFonts w:ascii="仿宋_GB2312" w:eastAsia="仿宋_GB2312"/>
          <w:sz w:val="28"/>
          <w:szCs w:val="28"/>
        </w:rPr>
      </w:pPr>
      <w:r>
        <w:rPr>
          <w:rFonts w:hint="eastAsia" w:ascii="仿宋_GB2312" w:eastAsia="仿宋_GB2312"/>
          <w:sz w:val="28"/>
          <w:szCs w:val="28"/>
        </w:rPr>
        <w:t>7</w:t>
      </w:r>
      <w:r>
        <w:rPr>
          <w:rFonts w:ascii="仿宋_GB2312" w:eastAsia="仿宋_GB2312"/>
          <w:sz w:val="28"/>
          <w:szCs w:val="28"/>
        </w:rPr>
        <w:t>.</w:t>
      </w:r>
      <w:r>
        <w:rPr>
          <w:rFonts w:hint="eastAsia" w:ascii="仿宋_GB2312" w:eastAsia="仿宋_GB2312"/>
          <w:sz w:val="28"/>
          <w:szCs w:val="28"/>
        </w:rPr>
        <w:t>施工现场各类机械，机电设备完好率</w:t>
      </w:r>
      <w:r>
        <w:rPr>
          <w:rFonts w:ascii="仿宋_GB2312" w:eastAsia="仿宋_GB2312"/>
          <w:sz w:val="28"/>
          <w:szCs w:val="28"/>
        </w:rPr>
        <w:t>100%</w:t>
      </w:r>
      <w:r>
        <w:rPr>
          <w:rFonts w:hint="eastAsia" w:ascii="仿宋_GB2312" w:eastAsia="仿宋_GB2312"/>
          <w:sz w:val="28"/>
          <w:szCs w:val="28"/>
        </w:rPr>
        <w:t>。</w:t>
      </w:r>
    </w:p>
    <w:p>
      <w:pPr>
        <w:spacing w:line="360" w:lineRule="auto"/>
        <w:ind w:firstLine="570"/>
        <w:rPr>
          <w:rFonts w:ascii="仿宋_GB2312" w:eastAsia="仿宋_GB2312"/>
          <w:sz w:val="28"/>
          <w:szCs w:val="28"/>
        </w:rPr>
      </w:pPr>
      <w:r>
        <w:rPr>
          <w:rFonts w:hint="eastAsia" w:ascii="仿宋_GB2312" w:eastAsia="仿宋_GB2312"/>
          <w:sz w:val="28"/>
          <w:szCs w:val="28"/>
        </w:rPr>
        <w:t>8</w:t>
      </w:r>
      <w:r>
        <w:rPr>
          <w:rFonts w:ascii="仿宋_GB2312" w:eastAsia="仿宋_GB2312"/>
          <w:sz w:val="28"/>
          <w:szCs w:val="28"/>
        </w:rPr>
        <w:t>.</w:t>
      </w:r>
      <w:r>
        <w:rPr>
          <w:rFonts w:hint="eastAsia" w:ascii="仿宋_GB2312" w:eastAsia="仿宋_GB2312"/>
          <w:sz w:val="28"/>
          <w:szCs w:val="28"/>
        </w:rPr>
        <w:t>严格落实</w:t>
      </w:r>
      <w:r>
        <w:rPr>
          <w:rFonts w:ascii="仿宋_GB2312" w:eastAsia="仿宋_GB2312"/>
          <w:sz w:val="28"/>
          <w:szCs w:val="28"/>
        </w:rPr>
        <w:t>安全管理责任书约定。</w:t>
      </w:r>
    </w:p>
    <w:p>
      <w:pPr>
        <w:spacing w:line="360" w:lineRule="auto"/>
        <w:ind w:firstLine="140" w:firstLineChars="50"/>
        <w:rPr>
          <w:rFonts w:ascii="仿宋_GB2312" w:eastAsia="仿宋_GB2312"/>
          <w:sz w:val="28"/>
          <w:szCs w:val="28"/>
        </w:rPr>
      </w:pPr>
      <w:r>
        <w:rPr>
          <w:rFonts w:hint="eastAsia" w:ascii="仿宋_GB2312" w:eastAsia="仿宋_GB2312"/>
          <w:sz w:val="28"/>
          <w:szCs w:val="28"/>
        </w:rPr>
        <w:t>（三）乙方安全教育培训承诺</w:t>
      </w:r>
    </w:p>
    <w:p>
      <w:pPr>
        <w:spacing w:line="360" w:lineRule="auto"/>
        <w:rPr>
          <w:rFonts w:ascii="仿宋_GB2312" w:eastAsia="仿宋_GB2312"/>
          <w:sz w:val="28"/>
          <w:szCs w:val="28"/>
        </w:rPr>
      </w:pPr>
      <w:r>
        <w:rPr>
          <w:rFonts w:ascii="仿宋_GB2312" w:eastAsia="仿宋_GB2312"/>
          <w:sz w:val="28"/>
          <w:szCs w:val="28"/>
        </w:rPr>
        <w:t xml:space="preserve">    1.</w:t>
      </w:r>
      <w:r>
        <w:rPr>
          <w:rFonts w:hint="eastAsia" w:ascii="仿宋_GB2312" w:eastAsia="仿宋_GB2312"/>
          <w:sz w:val="28"/>
          <w:szCs w:val="28"/>
        </w:rPr>
        <w:t>工人岗前三级教育率</w:t>
      </w:r>
      <w:r>
        <w:rPr>
          <w:rFonts w:ascii="仿宋_GB2312" w:eastAsia="仿宋_GB2312"/>
          <w:sz w:val="28"/>
          <w:szCs w:val="28"/>
        </w:rPr>
        <w:t>100%</w:t>
      </w:r>
      <w:r>
        <w:rPr>
          <w:rFonts w:hint="eastAsia" w:ascii="仿宋_GB2312" w:eastAsia="仿宋_GB2312"/>
          <w:sz w:val="28"/>
          <w:szCs w:val="28"/>
        </w:rPr>
        <w:t>，特种工人持证上岗</w:t>
      </w:r>
      <w:r>
        <w:rPr>
          <w:rFonts w:ascii="仿宋_GB2312" w:eastAsia="仿宋_GB2312"/>
          <w:sz w:val="28"/>
          <w:szCs w:val="28"/>
        </w:rPr>
        <w:t>100%</w:t>
      </w:r>
      <w:r>
        <w:rPr>
          <w:rFonts w:hint="eastAsia" w:ascii="仿宋_GB2312" w:eastAsia="仿宋_GB2312"/>
          <w:sz w:val="28"/>
          <w:szCs w:val="28"/>
        </w:rPr>
        <w:t>；</w:t>
      </w:r>
    </w:p>
    <w:p>
      <w:pPr>
        <w:spacing w:line="360" w:lineRule="auto"/>
        <w:rPr>
          <w:rFonts w:ascii="仿宋_GB2312" w:eastAsia="仿宋_GB2312"/>
          <w:sz w:val="28"/>
          <w:szCs w:val="28"/>
        </w:rPr>
      </w:pPr>
      <w:r>
        <w:rPr>
          <w:rFonts w:ascii="仿宋_GB2312" w:eastAsia="仿宋_GB2312"/>
          <w:sz w:val="28"/>
          <w:szCs w:val="28"/>
        </w:rPr>
        <w:t xml:space="preserve">    2.</w:t>
      </w:r>
      <w:r>
        <w:rPr>
          <w:rFonts w:hint="eastAsia" w:ascii="仿宋_GB2312" w:eastAsia="仿宋_GB2312"/>
          <w:sz w:val="28"/>
          <w:szCs w:val="28"/>
        </w:rPr>
        <w:t>施工管理人员安全培训率</w:t>
      </w:r>
      <w:r>
        <w:rPr>
          <w:rFonts w:ascii="仿宋_GB2312" w:eastAsia="仿宋_GB2312"/>
          <w:sz w:val="28"/>
          <w:szCs w:val="28"/>
        </w:rPr>
        <w:t>100%</w:t>
      </w:r>
      <w:r>
        <w:rPr>
          <w:rFonts w:hint="eastAsia" w:ascii="仿宋_GB2312" w:eastAsia="仿宋_GB2312"/>
          <w:sz w:val="28"/>
          <w:szCs w:val="28"/>
        </w:rPr>
        <w:t>。</w:t>
      </w:r>
    </w:p>
    <w:p>
      <w:pPr>
        <w:spacing w:line="360" w:lineRule="auto"/>
        <w:ind w:firstLine="140" w:firstLineChars="50"/>
        <w:rPr>
          <w:rFonts w:ascii="仿宋_GB2312" w:eastAsia="仿宋_GB2312"/>
          <w:sz w:val="28"/>
          <w:szCs w:val="28"/>
        </w:rPr>
      </w:pPr>
      <w:r>
        <w:rPr>
          <w:rFonts w:hint="eastAsia" w:ascii="仿宋_GB2312" w:eastAsia="仿宋_GB2312"/>
          <w:sz w:val="28"/>
          <w:szCs w:val="28"/>
        </w:rPr>
        <w:t>（四）安全生产管理处罚</w:t>
      </w:r>
    </w:p>
    <w:p>
      <w:pPr>
        <w:spacing w:line="360" w:lineRule="atLeast"/>
        <w:ind w:firstLine="560" w:firstLineChars="200"/>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 xml:space="preserve"> </w:t>
      </w:r>
      <w:r>
        <w:rPr>
          <w:rFonts w:hint="eastAsia" w:ascii="仿宋_GB2312" w:eastAsia="仿宋_GB2312"/>
          <w:sz w:val="28"/>
          <w:szCs w:val="28"/>
        </w:rPr>
        <w:t>违章指挥和强令冒险作业；</w:t>
      </w:r>
    </w:p>
    <w:p>
      <w:pPr>
        <w:spacing w:line="360" w:lineRule="atLeast"/>
        <w:rPr>
          <w:rFonts w:ascii="仿宋_GB2312" w:eastAsia="仿宋_GB2312"/>
          <w:sz w:val="28"/>
          <w:szCs w:val="28"/>
        </w:rPr>
      </w:pPr>
      <w:r>
        <w:rPr>
          <w:rFonts w:hint="eastAsia" w:ascii="仿宋_GB2312" w:eastAsia="仿宋_GB2312"/>
          <w:sz w:val="28"/>
          <w:szCs w:val="28"/>
        </w:rPr>
        <w:t xml:space="preserve">    2.</w:t>
      </w:r>
      <w:r>
        <w:rPr>
          <w:rFonts w:ascii="仿宋_GB2312" w:eastAsia="仿宋_GB2312"/>
          <w:sz w:val="28"/>
          <w:szCs w:val="28"/>
        </w:rPr>
        <w:t xml:space="preserve"> </w:t>
      </w:r>
      <w:r>
        <w:rPr>
          <w:rFonts w:hint="eastAsia" w:ascii="仿宋_GB2312" w:eastAsia="仿宋_GB2312"/>
          <w:sz w:val="28"/>
          <w:szCs w:val="28"/>
        </w:rPr>
        <w:t>拒不执行安全管理有关规章制度；</w:t>
      </w:r>
    </w:p>
    <w:p>
      <w:pPr>
        <w:spacing w:line="360" w:lineRule="atLeast"/>
        <w:rPr>
          <w:rFonts w:ascii="仿宋_GB2312" w:eastAsia="仿宋_GB2312"/>
          <w:sz w:val="28"/>
          <w:szCs w:val="28"/>
        </w:rPr>
      </w:pPr>
      <w:r>
        <w:rPr>
          <w:rFonts w:hint="eastAsia" w:ascii="仿宋_GB2312" w:eastAsia="仿宋_GB2312"/>
          <w:sz w:val="28"/>
          <w:szCs w:val="28"/>
        </w:rPr>
        <w:t xml:space="preserve">    3．擅自改变既定的安全措施，降低防护水平或条件；</w:t>
      </w:r>
    </w:p>
    <w:p>
      <w:pPr>
        <w:spacing w:line="360" w:lineRule="atLeast"/>
        <w:rPr>
          <w:rFonts w:ascii="仿宋_GB2312" w:eastAsia="仿宋_GB2312"/>
          <w:sz w:val="28"/>
          <w:szCs w:val="28"/>
        </w:rPr>
      </w:pPr>
      <w:r>
        <w:rPr>
          <w:rFonts w:hint="eastAsia" w:ascii="仿宋_GB2312" w:eastAsia="仿宋_GB2312"/>
          <w:sz w:val="28"/>
          <w:szCs w:val="28"/>
        </w:rPr>
        <w:t xml:space="preserve">    4．形成即刻事故风险的违章行为；</w:t>
      </w:r>
    </w:p>
    <w:p>
      <w:pPr>
        <w:spacing w:line="360" w:lineRule="atLeast"/>
        <w:rPr>
          <w:rFonts w:ascii="仿宋_GB2312" w:eastAsia="仿宋_GB2312"/>
          <w:sz w:val="28"/>
          <w:szCs w:val="28"/>
        </w:rPr>
      </w:pPr>
      <w:r>
        <w:rPr>
          <w:rFonts w:hint="eastAsia" w:ascii="仿宋_GB2312" w:eastAsia="仿宋_GB2312"/>
          <w:sz w:val="28"/>
          <w:szCs w:val="28"/>
        </w:rPr>
        <w:t xml:space="preserve">    5．影响项目整体安全生产或周边关系的不良事件；</w:t>
      </w:r>
    </w:p>
    <w:p>
      <w:pPr>
        <w:spacing w:line="360" w:lineRule="atLeast"/>
        <w:rPr>
          <w:rFonts w:ascii="仿宋_GB2312" w:eastAsia="仿宋_GB2312"/>
          <w:sz w:val="28"/>
          <w:szCs w:val="28"/>
        </w:rPr>
      </w:pPr>
      <w:r>
        <w:rPr>
          <w:rFonts w:hint="eastAsia" w:ascii="仿宋_GB2312" w:eastAsia="仿宋_GB2312"/>
          <w:sz w:val="28"/>
          <w:szCs w:val="28"/>
        </w:rPr>
        <w:t xml:space="preserve">    6．安全隐患或缺陷长期不落实整改；</w:t>
      </w:r>
    </w:p>
    <w:p>
      <w:pPr>
        <w:spacing w:line="360" w:lineRule="atLeast"/>
        <w:rPr>
          <w:rFonts w:ascii="仿宋_GB2312" w:eastAsia="仿宋_GB2312"/>
          <w:sz w:val="28"/>
          <w:szCs w:val="28"/>
        </w:rPr>
      </w:pPr>
      <w:r>
        <w:rPr>
          <w:rFonts w:hint="eastAsia" w:ascii="仿宋_GB2312" w:eastAsia="仿宋_GB2312"/>
          <w:sz w:val="28"/>
          <w:szCs w:val="28"/>
        </w:rPr>
        <w:t xml:space="preserve">    7．发生事故、事件未及时报告、隐瞒不报或谎报；</w:t>
      </w:r>
    </w:p>
    <w:p>
      <w:pPr>
        <w:spacing w:line="360" w:lineRule="atLeast"/>
        <w:rPr>
          <w:rFonts w:ascii="仿宋_GB2312" w:eastAsia="仿宋_GB2312"/>
          <w:sz w:val="28"/>
          <w:szCs w:val="28"/>
        </w:rPr>
      </w:pPr>
      <w:r>
        <w:rPr>
          <w:rFonts w:hint="eastAsia" w:ascii="仿宋_GB2312" w:eastAsia="仿宋_GB2312"/>
          <w:sz w:val="28"/>
          <w:szCs w:val="28"/>
        </w:rPr>
        <w:t xml:space="preserve">    8．影响甲方安全生产管理绩效考核的事故、事件；</w:t>
      </w:r>
    </w:p>
    <w:p>
      <w:pPr>
        <w:spacing w:line="360" w:lineRule="atLeast"/>
        <w:ind w:firstLine="480"/>
        <w:rPr>
          <w:rFonts w:ascii="仿宋_GB2312" w:eastAsia="仿宋_GB2312"/>
          <w:sz w:val="28"/>
          <w:szCs w:val="28"/>
        </w:rPr>
      </w:pPr>
      <w:r>
        <w:rPr>
          <w:rFonts w:hint="eastAsia" w:ascii="仿宋_GB2312" w:eastAsia="仿宋_GB2312"/>
          <w:sz w:val="28"/>
          <w:szCs w:val="28"/>
        </w:rPr>
        <w:t>9．季度或年度安全生产考核得分低于70分；</w:t>
      </w:r>
    </w:p>
    <w:p>
      <w:pPr>
        <w:spacing w:line="360" w:lineRule="atLeast"/>
        <w:ind w:firstLine="480"/>
        <w:rPr>
          <w:rFonts w:ascii="仿宋_GB2312" w:eastAsia="仿宋_GB2312"/>
          <w:sz w:val="28"/>
          <w:szCs w:val="28"/>
        </w:rPr>
      </w:pPr>
      <w:r>
        <w:rPr>
          <w:rFonts w:hint="eastAsia" w:ascii="仿宋_GB2312" w:eastAsia="仿宋_GB2312"/>
          <w:sz w:val="28"/>
          <w:szCs w:val="28"/>
        </w:rPr>
        <w:t>10．甲方指令拒不落实或落实效果不佳；</w:t>
      </w:r>
    </w:p>
    <w:p>
      <w:pPr>
        <w:spacing w:line="360" w:lineRule="atLeast"/>
        <w:ind w:firstLine="480"/>
        <w:rPr>
          <w:rFonts w:ascii="仿宋_GB2312" w:eastAsia="仿宋_GB2312"/>
          <w:sz w:val="28"/>
          <w:szCs w:val="28"/>
        </w:rPr>
      </w:pPr>
      <w:r>
        <w:rPr>
          <w:rFonts w:hint="eastAsia" w:ascii="仿宋_GB2312" w:eastAsia="仿宋_GB2312"/>
          <w:sz w:val="28"/>
          <w:szCs w:val="28"/>
        </w:rPr>
        <w:t>11．</w:t>
      </w:r>
      <w:r>
        <w:rPr>
          <w:rFonts w:ascii="仿宋_GB2312" w:eastAsia="仿宋_GB2312"/>
          <w:sz w:val="28"/>
          <w:szCs w:val="28"/>
        </w:rPr>
        <w:t>未</w:t>
      </w:r>
      <w:r>
        <w:rPr>
          <w:rFonts w:hint="eastAsia" w:ascii="仿宋_GB2312" w:eastAsia="仿宋_GB2312"/>
          <w:sz w:val="28"/>
          <w:szCs w:val="28"/>
        </w:rPr>
        <w:t>能</w:t>
      </w:r>
      <w:r>
        <w:rPr>
          <w:rFonts w:ascii="仿宋_GB2312" w:eastAsia="仿宋_GB2312"/>
          <w:sz w:val="28"/>
          <w:szCs w:val="28"/>
        </w:rPr>
        <w:t>实现</w:t>
      </w:r>
      <w:r>
        <w:rPr>
          <w:rFonts w:hint="eastAsia" w:ascii="仿宋_GB2312" w:eastAsia="仿宋_GB2312"/>
          <w:sz w:val="28"/>
          <w:szCs w:val="28"/>
        </w:rPr>
        <w:t>责任书约定的安全生产管理目标。</w:t>
      </w:r>
    </w:p>
    <w:p>
      <w:pPr>
        <w:ind w:firstLine="560" w:firstLineChars="200"/>
        <w:rPr>
          <w:rFonts w:ascii="仿宋_GB2312" w:eastAsia="仿宋_GB2312"/>
          <w:sz w:val="28"/>
          <w:szCs w:val="28"/>
        </w:rPr>
      </w:pPr>
    </w:p>
    <w:p>
      <w:pPr>
        <w:spacing w:line="360" w:lineRule="auto"/>
        <w:ind w:firstLine="570"/>
        <w:rPr>
          <w:rFonts w:ascii="仿宋_GB2312" w:eastAsia="仿宋_GB2312"/>
          <w:sz w:val="28"/>
          <w:szCs w:val="28"/>
        </w:rPr>
      </w:pPr>
    </w:p>
    <w:p>
      <w:pPr>
        <w:rPr>
          <w:rFonts w:ascii="仿宋_GB2312" w:eastAsia="仿宋_GB2312"/>
          <w:sz w:val="28"/>
          <w:szCs w:val="28"/>
        </w:rPr>
      </w:pPr>
      <w:r>
        <w:rPr>
          <w:rFonts w:hint="eastAsia" w:ascii="仿宋_GB2312" w:eastAsia="仿宋_GB2312"/>
          <w:sz w:val="28"/>
          <w:szCs w:val="28"/>
        </w:rPr>
        <w:t>甲方</w:t>
      </w:r>
      <w:r>
        <w:rPr>
          <w:rFonts w:ascii="仿宋_GB2312" w:eastAsia="仿宋_GB2312"/>
          <w:sz w:val="28"/>
          <w:szCs w:val="28"/>
        </w:rPr>
        <w:t>：</w:t>
      </w:r>
      <w:r>
        <w:rPr>
          <w:rFonts w:hint="eastAsia" w:ascii="仿宋_GB2312" w:eastAsia="仿宋_GB2312"/>
          <w:sz w:val="28"/>
          <w:szCs w:val="28"/>
          <w:lang w:val="en-US" w:eastAsia="zh-CN"/>
        </w:rPr>
        <w:t xml:space="preserve">  </w:t>
      </w:r>
      <w:r>
        <w:rPr>
          <w:rFonts w:hint="eastAsia" w:ascii="仿宋_GB2312" w:eastAsia="仿宋_GB2312"/>
          <w:sz w:val="28"/>
          <w:szCs w:val="28"/>
        </w:rPr>
        <w:t xml:space="preserve"> </w:t>
      </w:r>
    </w:p>
    <w:p>
      <w:pPr>
        <w:spacing w:line="360" w:lineRule="auto"/>
        <w:ind w:firstLine="570"/>
        <w:rPr>
          <w:rFonts w:ascii="仿宋_GB2312" w:eastAsia="仿宋_GB2312"/>
          <w:sz w:val="28"/>
          <w:szCs w:val="28"/>
        </w:rPr>
      </w:pPr>
    </w:p>
    <w:p>
      <w:pPr>
        <w:spacing w:line="360" w:lineRule="auto"/>
        <w:jc w:val="left"/>
        <w:rPr>
          <w:rFonts w:ascii="仿宋_GB2312" w:eastAsia="仿宋_GB2312"/>
          <w:sz w:val="28"/>
          <w:szCs w:val="28"/>
        </w:rPr>
      </w:pPr>
      <w:r>
        <w:rPr>
          <w:rFonts w:hint="eastAsia" w:ascii="仿宋_GB2312" w:eastAsia="仿宋_GB2312"/>
          <w:sz w:val="28"/>
          <w:szCs w:val="28"/>
        </w:rPr>
        <w:t>项目负责人</w:t>
      </w:r>
      <w:r>
        <w:rPr>
          <w:rFonts w:ascii="仿宋_GB2312" w:eastAsia="仿宋_GB2312"/>
          <w:sz w:val="28"/>
          <w:szCs w:val="28"/>
        </w:rPr>
        <w:t>(</w:t>
      </w:r>
      <w:r>
        <w:rPr>
          <w:rFonts w:hint="eastAsia" w:ascii="仿宋_GB2312" w:eastAsia="仿宋_GB2312"/>
          <w:sz w:val="28"/>
          <w:szCs w:val="28"/>
        </w:rPr>
        <w:t>签字</w:t>
      </w:r>
      <w:r>
        <w:rPr>
          <w:rFonts w:ascii="仿宋_GB2312" w:eastAsia="仿宋_GB2312"/>
          <w:sz w:val="28"/>
          <w:szCs w:val="28"/>
        </w:rPr>
        <w:t>)</w:t>
      </w:r>
      <w:r>
        <w:rPr>
          <w:rFonts w:hint="eastAsia" w:ascii="仿宋_GB2312" w:eastAsia="仿宋_GB2312"/>
          <w:sz w:val="28"/>
          <w:szCs w:val="28"/>
        </w:rPr>
        <w:t>：</w:t>
      </w:r>
      <w:r>
        <w:rPr>
          <w:rFonts w:ascii="仿宋_GB2312" w:eastAsia="仿宋_GB2312"/>
          <w:sz w:val="28"/>
          <w:szCs w:val="28"/>
        </w:rPr>
        <w:t xml:space="preserve">                       </w:t>
      </w:r>
    </w:p>
    <w:p>
      <w:pPr>
        <w:spacing w:line="360" w:lineRule="auto"/>
        <w:ind w:firstLine="570"/>
        <w:rPr>
          <w:rFonts w:ascii="仿宋_GB2312" w:eastAsia="仿宋_GB2312"/>
          <w:sz w:val="28"/>
          <w:szCs w:val="28"/>
        </w:rPr>
      </w:pPr>
    </w:p>
    <w:p>
      <w:pPr>
        <w:spacing w:line="360" w:lineRule="auto"/>
        <w:ind w:firstLine="4480" w:firstLineChars="1600"/>
        <w:rPr>
          <w:rFonts w:ascii="仿宋_GB2312" w:eastAsia="仿宋_GB2312"/>
          <w:sz w:val="28"/>
          <w:szCs w:val="28"/>
        </w:rPr>
      </w:pP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r>
        <w:rPr>
          <w:rFonts w:ascii="仿宋_GB2312" w:eastAsia="仿宋_GB2312"/>
          <w:sz w:val="28"/>
          <w:szCs w:val="28"/>
        </w:rPr>
        <w:t xml:space="preserve">                            </w:t>
      </w: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r>
        <w:rPr>
          <w:rFonts w:hint="eastAsia" w:ascii="仿宋_GB2312" w:eastAsia="仿宋_GB2312"/>
          <w:sz w:val="28"/>
          <w:szCs w:val="28"/>
        </w:rPr>
        <w:t>乙方：</w:t>
      </w:r>
      <w:bookmarkStart w:id="0" w:name="_GoBack"/>
      <w:bookmarkEnd w:id="0"/>
      <w:r>
        <w:rPr>
          <w:rFonts w:hint="eastAsia" w:ascii="仿宋_GB2312" w:eastAsia="仿宋_GB2312"/>
          <w:sz w:val="28"/>
          <w:szCs w:val="28"/>
        </w:rPr>
        <w:t xml:space="preserve"> </w:t>
      </w:r>
    </w:p>
    <w:p>
      <w:pPr>
        <w:rPr>
          <w:rFonts w:ascii="仿宋_GB2312" w:eastAsia="仿宋_GB2312"/>
          <w:sz w:val="28"/>
          <w:szCs w:val="28"/>
        </w:rPr>
      </w:pPr>
    </w:p>
    <w:p>
      <w:pPr>
        <w:spacing w:line="360" w:lineRule="auto"/>
        <w:jc w:val="left"/>
        <w:rPr>
          <w:rFonts w:ascii="仿宋_GB2312" w:eastAsia="仿宋_GB2312"/>
          <w:sz w:val="28"/>
          <w:szCs w:val="28"/>
        </w:rPr>
      </w:pPr>
      <w:r>
        <w:rPr>
          <w:rFonts w:hint="eastAsia" w:ascii="仿宋_GB2312" w:eastAsia="仿宋_GB2312"/>
          <w:sz w:val="28"/>
          <w:szCs w:val="28"/>
        </w:rPr>
        <w:t>项目负责人</w:t>
      </w:r>
      <w:r>
        <w:rPr>
          <w:rFonts w:ascii="仿宋_GB2312" w:eastAsia="仿宋_GB2312"/>
          <w:sz w:val="28"/>
          <w:szCs w:val="28"/>
        </w:rPr>
        <w:t>(</w:t>
      </w:r>
      <w:r>
        <w:rPr>
          <w:rFonts w:hint="eastAsia" w:ascii="仿宋_GB2312" w:eastAsia="仿宋_GB2312"/>
          <w:sz w:val="28"/>
          <w:szCs w:val="28"/>
        </w:rPr>
        <w:t>签字</w:t>
      </w:r>
      <w:r>
        <w:rPr>
          <w:rFonts w:ascii="仿宋_GB2312" w:eastAsia="仿宋_GB2312"/>
          <w:sz w:val="28"/>
          <w:szCs w:val="28"/>
        </w:rPr>
        <w:t>)</w:t>
      </w:r>
      <w:r>
        <w:rPr>
          <w:rFonts w:hint="eastAsia" w:ascii="仿宋_GB2312" w:eastAsia="仿宋_GB2312"/>
          <w:sz w:val="28"/>
          <w:szCs w:val="28"/>
        </w:rPr>
        <w:t>：</w:t>
      </w:r>
      <w:r>
        <w:rPr>
          <w:rFonts w:ascii="仿宋_GB2312" w:eastAsia="仿宋_GB2312"/>
          <w:sz w:val="28"/>
          <w:szCs w:val="28"/>
        </w:rPr>
        <w:t xml:space="preserve">                       </w:t>
      </w:r>
    </w:p>
    <w:p>
      <w:pPr>
        <w:spacing w:line="360" w:lineRule="auto"/>
        <w:ind w:firstLine="570"/>
        <w:rPr>
          <w:rFonts w:ascii="仿宋_GB2312" w:eastAsia="仿宋_GB2312"/>
          <w:sz w:val="28"/>
          <w:szCs w:val="28"/>
        </w:rPr>
      </w:pPr>
    </w:p>
    <w:p>
      <w:pPr>
        <w:ind w:firstLine="4620" w:firstLineChars="1650"/>
        <w:rPr>
          <w:rFonts w:ascii="仿宋_GB2312" w:eastAsia="仿宋_GB2312"/>
          <w:sz w:val="28"/>
          <w:szCs w:val="28"/>
        </w:rPr>
      </w:pP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r>
        <w:rPr>
          <w:rFonts w:ascii="仿宋_GB2312" w:eastAsia="仿宋_GB2312"/>
          <w:sz w:val="28"/>
          <w:szCs w:val="28"/>
        </w:rPr>
        <w:t xml:space="preserve">       </w:t>
      </w:r>
    </w:p>
    <w:p>
      <w:pPr>
        <w:adjustRightInd w:val="0"/>
        <w:snapToGrid w:val="0"/>
        <w:spacing w:line="360" w:lineRule="auto"/>
        <w:rPr>
          <w:rFonts w:ascii="宋体"/>
        </w:rPr>
      </w:pPr>
    </w:p>
    <w:sectPr>
      <w:footerReference r:id="rId3" w:type="default"/>
      <w:pgSz w:w="11907" w:h="16840"/>
      <w:pgMar w:top="1417" w:right="1417" w:bottom="1417" w:left="1417"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Arial">
    <w:panose1 w:val="020B0604020202020204"/>
    <w:charset w:val="00"/>
    <w:family w:val="decorative"/>
    <w:pitch w:val="default"/>
    <w:sig w:usb0="E0002EFF" w:usb1="C000785B" w:usb2="00000009" w:usb3="00000000" w:csb0="400001FF" w:csb1="FFFF0000"/>
  </w:font>
  <w:font w:name="黑体">
    <w:panose1 w:val="02010609060101010101"/>
    <w:charset w:val="86"/>
    <w:family w:val="swiss"/>
    <w:pitch w:val="default"/>
    <w:sig w:usb0="800002BF" w:usb1="38CF7CFA" w:usb2="00000016" w:usb3="00000000" w:csb0="00040001" w:csb1="00000000"/>
  </w:font>
  <w:font w:name="Courier New">
    <w:panose1 w:val="02070309020205020404"/>
    <w:charset w:val="00"/>
    <w:family w:val="swiss"/>
    <w:pitch w:val="default"/>
    <w:sig w:usb0="E0002EFF" w:usb1="C0007843" w:usb2="00000009" w:usb3="00000000" w:csb0="400001FF" w:csb1="FFFF0000"/>
  </w:font>
  <w:font w:name="Verdana">
    <w:panose1 w:val="020B0604030504040204"/>
    <w:charset w:val="00"/>
    <w:family w:val="decorative"/>
    <w:pitch w:val="default"/>
    <w:sig w:usb0="A00006FF" w:usb1="4000205B" w:usb2="00000010" w:usb3="00000000" w:csb0="2000019F" w:csb1="00000000"/>
  </w:font>
  <w:font w:name="仿宋_GB2312">
    <w:altName w:val="仿宋"/>
    <w:panose1 w:val="00000000000000000000"/>
    <w:charset w:val="86"/>
    <w:family w:val="swiss"/>
    <w:pitch w:val="default"/>
    <w:sig w:usb0="00000000" w:usb1="00000000" w:usb2="00000000" w:usb3="00000000" w:csb0="00040000" w:csb1="00000000"/>
  </w:font>
  <w:font w:name="Tahoma">
    <w:panose1 w:val="020B0604030504040204"/>
    <w:charset w:val="00"/>
    <w:family w:val="decorative"/>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B5A"/>
    <w:rsid w:val="000000DD"/>
    <w:rsid w:val="00000178"/>
    <w:rsid w:val="00003E5B"/>
    <w:rsid w:val="000047B7"/>
    <w:rsid w:val="000054D4"/>
    <w:rsid w:val="000114F3"/>
    <w:rsid w:val="0001395A"/>
    <w:rsid w:val="00015400"/>
    <w:rsid w:val="00017D34"/>
    <w:rsid w:val="00017F12"/>
    <w:rsid w:val="00030B3D"/>
    <w:rsid w:val="00037214"/>
    <w:rsid w:val="00042CDC"/>
    <w:rsid w:val="000440EE"/>
    <w:rsid w:val="000479C4"/>
    <w:rsid w:val="00050F20"/>
    <w:rsid w:val="00054BA4"/>
    <w:rsid w:val="00055D18"/>
    <w:rsid w:val="000661DC"/>
    <w:rsid w:val="00074176"/>
    <w:rsid w:val="00084498"/>
    <w:rsid w:val="000949B1"/>
    <w:rsid w:val="00095B90"/>
    <w:rsid w:val="000A1298"/>
    <w:rsid w:val="000A1DB2"/>
    <w:rsid w:val="000A718D"/>
    <w:rsid w:val="000B73F2"/>
    <w:rsid w:val="000C2A56"/>
    <w:rsid w:val="000D3BD7"/>
    <w:rsid w:val="000D5D1A"/>
    <w:rsid w:val="000D7074"/>
    <w:rsid w:val="000D765F"/>
    <w:rsid w:val="000E1156"/>
    <w:rsid w:val="000E43A8"/>
    <w:rsid w:val="000F0BD7"/>
    <w:rsid w:val="000F6375"/>
    <w:rsid w:val="0010503C"/>
    <w:rsid w:val="001057D8"/>
    <w:rsid w:val="001076DA"/>
    <w:rsid w:val="00110953"/>
    <w:rsid w:val="00110A45"/>
    <w:rsid w:val="00110D36"/>
    <w:rsid w:val="001111C0"/>
    <w:rsid w:val="00116379"/>
    <w:rsid w:val="001204CA"/>
    <w:rsid w:val="00121190"/>
    <w:rsid w:val="001236D9"/>
    <w:rsid w:val="00123CB5"/>
    <w:rsid w:val="00127701"/>
    <w:rsid w:val="001327A1"/>
    <w:rsid w:val="00132854"/>
    <w:rsid w:val="00132BE0"/>
    <w:rsid w:val="001339F0"/>
    <w:rsid w:val="0013605B"/>
    <w:rsid w:val="00142356"/>
    <w:rsid w:val="00143F86"/>
    <w:rsid w:val="00150921"/>
    <w:rsid w:val="00155E6D"/>
    <w:rsid w:val="00160C5B"/>
    <w:rsid w:val="00163C1D"/>
    <w:rsid w:val="00172DBC"/>
    <w:rsid w:val="001733A3"/>
    <w:rsid w:val="001749CD"/>
    <w:rsid w:val="00180921"/>
    <w:rsid w:val="00185E52"/>
    <w:rsid w:val="00186952"/>
    <w:rsid w:val="00190705"/>
    <w:rsid w:val="00190E7F"/>
    <w:rsid w:val="00197195"/>
    <w:rsid w:val="0019785A"/>
    <w:rsid w:val="001A7DFA"/>
    <w:rsid w:val="001B10AA"/>
    <w:rsid w:val="001C3126"/>
    <w:rsid w:val="001C3155"/>
    <w:rsid w:val="001C7FF9"/>
    <w:rsid w:val="001E2017"/>
    <w:rsid w:val="001E31DE"/>
    <w:rsid w:val="001E7E4D"/>
    <w:rsid w:val="001F262F"/>
    <w:rsid w:val="001F4EFA"/>
    <w:rsid w:val="002023E5"/>
    <w:rsid w:val="00202FFE"/>
    <w:rsid w:val="00203545"/>
    <w:rsid w:val="00205A8D"/>
    <w:rsid w:val="002078EA"/>
    <w:rsid w:val="002249AF"/>
    <w:rsid w:val="00226494"/>
    <w:rsid w:val="00230860"/>
    <w:rsid w:val="002439D2"/>
    <w:rsid w:val="00250F63"/>
    <w:rsid w:val="00254F28"/>
    <w:rsid w:val="00256835"/>
    <w:rsid w:val="0026029E"/>
    <w:rsid w:val="00261F19"/>
    <w:rsid w:val="0026350D"/>
    <w:rsid w:val="00270BE6"/>
    <w:rsid w:val="00276F40"/>
    <w:rsid w:val="002778DA"/>
    <w:rsid w:val="0028078A"/>
    <w:rsid w:val="00282699"/>
    <w:rsid w:val="002A0B48"/>
    <w:rsid w:val="002A2359"/>
    <w:rsid w:val="002A26C1"/>
    <w:rsid w:val="002B0ED5"/>
    <w:rsid w:val="002B1B9E"/>
    <w:rsid w:val="002B659F"/>
    <w:rsid w:val="002C242A"/>
    <w:rsid w:val="002D32B0"/>
    <w:rsid w:val="002E0CBD"/>
    <w:rsid w:val="002E1D1B"/>
    <w:rsid w:val="002E34B5"/>
    <w:rsid w:val="002E44B8"/>
    <w:rsid w:val="002E638D"/>
    <w:rsid w:val="002E77E7"/>
    <w:rsid w:val="002E7DF7"/>
    <w:rsid w:val="002F1142"/>
    <w:rsid w:val="002F5C18"/>
    <w:rsid w:val="0030115E"/>
    <w:rsid w:val="00306554"/>
    <w:rsid w:val="00312A58"/>
    <w:rsid w:val="00314EC5"/>
    <w:rsid w:val="0031563C"/>
    <w:rsid w:val="003165C1"/>
    <w:rsid w:val="003177B5"/>
    <w:rsid w:val="0032165D"/>
    <w:rsid w:val="00321FCE"/>
    <w:rsid w:val="00324B92"/>
    <w:rsid w:val="00325AEE"/>
    <w:rsid w:val="003267C7"/>
    <w:rsid w:val="00327AE1"/>
    <w:rsid w:val="00331608"/>
    <w:rsid w:val="00336DB0"/>
    <w:rsid w:val="003459C0"/>
    <w:rsid w:val="003468B7"/>
    <w:rsid w:val="00354ACE"/>
    <w:rsid w:val="0035557B"/>
    <w:rsid w:val="00355F23"/>
    <w:rsid w:val="00356B93"/>
    <w:rsid w:val="00363CC1"/>
    <w:rsid w:val="00372D2E"/>
    <w:rsid w:val="0037367E"/>
    <w:rsid w:val="00376ECD"/>
    <w:rsid w:val="00386865"/>
    <w:rsid w:val="00387D5A"/>
    <w:rsid w:val="00391E6C"/>
    <w:rsid w:val="003921C5"/>
    <w:rsid w:val="003927D0"/>
    <w:rsid w:val="00397F23"/>
    <w:rsid w:val="003A5727"/>
    <w:rsid w:val="003C7497"/>
    <w:rsid w:val="003D33A2"/>
    <w:rsid w:val="003E03CA"/>
    <w:rsid w:val="003F272D"/>
    <w:rsid w:val="00401D04"/>
    <w:rsid w:val="00401F15"/>
    <w:rsid w:val="00407D5D"/>
    <w:rsid w:val="00412391"/>
    <w:rsid w:val="00412918"/>
    <w:rsid w:val="00427B5C"/>
    <w:rsid w:val="00431379"/>
    <w:rsid w:val="00434E70"/>
    <w:rsid w:val="00436797"/>
    <w:rsid w:val="00443F27"/>
    <w:rsid w:val="00450199"/>
    <w:rsid w:val="0045742D"/>
    <w:rsid w:val="0045745B"/>
    <w:rsid w:val="004647A0"/>
    <w:rsid w:val="00465220"/>
    <w:rsid w:val="0046594C"/>
    <w:rsid w:val="00475C44"/>
    <w:rsid w:val="00477A57"/>
    <w:rsid w:val="00480BC6"/>
    <w:rsid w:val="00482E04"/>
    <w:rsid w:val="00484792"/>
    <w:rsid w:val="00485415"/>
    <w:rsid w:val="004967A4"/>
    <w:rsid w:val="00497995"/>
    <w:rsid w:val="00497CDD"/>
    <w:rsid w:val="004A0E92"/>
    <w:rsid w:val="004A31AF"/>
    <w:rsid w:val="004A341E"/>
    <w:rsid w:val="004A389D"/>
    <w:rsid w:val="004A3BF7"/>
    <w:rsid w:val="004B24F2"/>
    <w:rsid w:val="004B6897"/>
    <w:rsid w:val="004B6AEB"/>
    <w:rsid w:val="004C6983"/>
    <w:rsid w:val="004C6AFF"/>
    <w:rsid w:val="004D0DAB"/>
    <w:rsid w:val="004D5391"/>
    <w:rsid w:val="004E3BB1"/>
    <w:rsid w:val="004E50A1"/>
    <w:rsid w:val="004E50E6"/>
    <w:rsid w:val="004F3428"/>
    <w:rsid w:val="0050165A"/>
    <w:rsid w:val="00504965"/>
    <w:rsid w:val="00506618"/>
    <w:rsid w:val="0050677D"/>
    <w:rsid w:val="005100CE"/>
    <w:rsid w:val="005102CE"/>
    <w:rsid w:val="0051228E"/>
    <w:rsid w:val="0051620A"/>
    <w:rsid w:val="00516B2C"/>
    <w:rsid w:val="00517343"/>
    <w:rsid w:val="00522B85"/>
    <w:rsid w:val="00522CA0"/>
    <w:rsid w:val="00526D06"/>
    <w:rsid w:val="0052732B"/>
    <w:rsid w:val="00532C4C"/>
    <w:rsid w:val="0053300B"/>
    <w:rsid w:val="005347DE"/>
    <w:rsid w:val="00535967"/>
    <w:rsid w:val="005367DF"/>
    <w:rsid w:val="00536C73"/>
    <w:rsid w:val="0054266E"/>
    <w:rsid w:val="00554F07"/>
    <w:rsid w:val="005569B5"/>
    <w:rsid w:val="00565245"/>
    <w:rsid w:val="005666F6"/>
    <w:rsid w:val="0056795E"/>
    <w:rsid w:val="00570C6B"/>
    <w:rsid w:val="00571FF0"/>
    <w:rsid w:val="00582404"/>
    <w:rsid w:val="00582EF7"/>
    <w:rsid w:val="005855FF"/>
    <w:rsid w:val="00592B74"/>
    <w:rsid w:val="00592CAE"/>
    <w:rsid w:val="00593BF9"/>
    <w:rsid w:val="005A056E"/>
    <w:rsid w:val="005A15A8"/>
    <w:rsid w:val="005A1FCE"/>
    <w:rsid w:val="005A42FA"/>
    <w:rsid w:val="005A4687"/>
    <w:rsid w:val="005B03DF"/>
    <w:rsid w:val="005B27BA"/>
    <w:rsid w:val="005C1788"/>
    <w:rsid w:val="005C5746"/>
    <w:rsid w:val="005D022D"/>
    <w:rsid w:val="005D0A08"/>
    <w:rsid w:val="005D64EA"/>
    <w:rsid w:val="005E7CF7"/>
    <w:rsid w:val="005F1F61"/>
    <w:rsid w:val="005F50F0"/>
    <w:rsid w:val="005F7D55"/>
    <w:rsid w:val="006063FD"/>
    <w:rsid w:val="0061175B"/>
    <w:rsid w:val="0062115A"/>
    <w:rsid w:val="00626E46"/>
    <w:rsid w:val="00635C6C"/>
    <w:rsid w:val="0063716D"/>
    <w:rsid w:val="00641F20"/>
    <w:rsid w:val="0065173C"/>
    <w:rsid w:val="00653D45"/>
    <w:rsid w:val="00656FE7"/>
    <w:rsid w:val="00663020"/>
    <w:rsid w:val="00664F3D"/>
    <w:rsid w:val="0066624E"/>
    <w:rsid w:val="006704BC"/>
    <w:rsid w:val="00674ADC"/>
    <w:rsid w:val="00677512"/>
    <w:rsid w:val="00684023"/>
    <w:rsid w:val="00687946"/>
    <w:rsid w:val="00690CD1"/>
    <w:rsid w:val="00693159"/>
    <w:rsid w:val="00697C59"/>
    <w:rsid w:val="006A084F"/>
    <w:rsid w:val="006A38D1"/>
    <w:rsid w:val="006A49DC"/>
    <w:rsid w:val="006A5A14"/>
    <w:rsid w:val="006A74AD"/>
    <w:rsid w:val="006B2B41"/>
    <w:rsid w:val="006C59E8"/>
    <w:rsid w:val="006C64D0"/>
    <w:rsid w:val="006D0D45"/>
    <w:rsid w:val="006D13F4"/>
    <w:rsid w:val="006D1887"/>
    <w:rsid w:val="006D3AC2"/>
    <w:rsid w:val="006E23E8"/>
    <w:rsid w:val="006F52DF"/>
    <w:rsid w:val="00704A5A"/>
    <w:rsid w:val="00704E7A"/>
    <w:rsid w:val="007056F7"/>
    <w:rsid w:val="00707545"/>
    <w:rsid w:val="00715B11"/>
    <w:rsid w:val="0071736F"/>
    <w:rsid w:val="00726A3D"/>
    <w:rsid w:val="00726D07"/>
    <w:rsid w:val="0072771B"/>
    <w:rsid w:val="0073080C"/>
    <w:rsid w:val="007325BF"/>
    <w:rsid w:val="007348E5"/>
    <w:rsid w:val="007403F3"/>
    <w:rsid w:val="00744B62"/>
    <w:rsid w:val="00764A1B"/>
    <w:rsid w:val="00766E2D"/>
    <w:rsid w:val="007700E0"/>
    <w:rsid w:val="007711A6"/>
    <w:rsid w:val="007817C5"/>
    <w:rsid w:val="00783F9B"/>
    <w:rsid w:val="0078444E"/>
    <w:rsid w:val="00784F44"/>
    <w:rsid w:val="00787AAD"/>
    <w:rsid w:val="00787D57"/>
    <w:rsid w:val="00797C70"/>
    <w:rsid w:val="007A43E9"/>
    <w:rsid w:val="007B4172"/>
    <w:rsid w:val="007B4B4F"/>
    <w:rsid w:val="007C29E2"/>
    <w:rsid w:val="007C7276"/>
    <w:rsid w:val="007D168E"/>
    <w:rsid w:val="007D498D"/>
    <w:rsid w:val="007D7817"/>
    <w:rsid w:val="007E2A24"/>
    <w:rsid w:val="007E3EFD"/>
    <w:rsid w:val="007E6A12"/>
    <w:rsid w:val="007F56BF"/>
    <w:rsid w:val="00802EEB"/>
    <w:rsid w:val="00810763"/>
    <w:rsid w:val="00811B4D"/>
    <w:rsid w:val="00813A79"/>
    <w:rsid w:val="00815A2C"/>
    <w:rsid w:val="008171A7"/>
    <w:rsid w:val="00824971"/>
    <w:rsid w:val="00825B0A"/>
    <w:rsid w:val="00833AA6"/>
    <w:rsid w:val="008369E9"/>
    <w:rsid w:val="008455FC"/>
    <w:rsid w:val="0084666B"/>
    <w:rsid w:val="0084782B"/>
    <w:rsid w:val="0085186B"/>
    <w:rsid w:val="008545BA"/>
    <w:rsid w:val="008574C9"/>
    <w:rsid w:val="00867CFB"/>
    <w:rsid w:val="008734E9"/>
    <w:rsid w:val="00876E57"/>
    <w:rsid w:val="00877FDD"/>
    <w:rsid w:val="0088004D"/>
    <w:rsid w:val="00880939"/>
    <w:rsid w:val="008828CF"/>
    <w:rsid w:val="0088521D"/>
    <w:rsid w:val="008873C0"/>
    <w:rsid w:val="0089199C"/>
    <w:rsid w:val="00897893"/>
    <w:rsid w:val="008A3ED6"/>
    <w:rsid w:val="008A6D01"/>
    <w:rsid w:val="008A79DC"/>
    <w:rsid w:val="008B0661"/>
    <w:rsid w:val="008B2E08"/>
    <w:rsid w:val="008B3599"/>
    <w:rsid w:val="008B6641"/>
    <w:rsid w:val="008C27C5"/>
    <w:rsid w:val="008C64DE"/>
    <w:rsid w:val="008C778C"/>
    <w:rsid w:val="008D0365"/>
    <w:rsid w:val="008D04EE"/>
    <w:rsid w:val="008D14BC"/>
    <w:rsid w:val="008D211F"/>
    <w:rsid w:val="008D53F9"/>
    <w:rsid w:val="008E7330"/>
    <w:rsid w:val="008F007B"/>
    <w:rsid w:val="008F304A"/>
    <w:rsid w:val="008F542E"/>
    <w:rsid w:val="00903829"/>
    <w:rsid w:val="0091038D"/>
    <w:rsid w:val="0091197B"/>
    <w:rsid w:val="00913F92"/>
    <w:rsid w:val="0092070B"/>
    <w:rsid w:val="00921F8B"/>
    <w:rsid w:val="00923D79"/>
    <w:rsid w:val="009266AC"/>
    <w:rsid w:val="00926CD8"/>
    <w:rsid w:val="00934C76"/>
    <w:rsid w:val="00934F0B"/>
    <w:rsid w:val="00950250"/>
    <w:rsid w:val="00960EB9"/>
    <w:rsid w:val="00962F00"/>
    <w:rsid w:val="0096481A"/>
    <w:rsid w:val="00984C6E"/>
    <w:rsid w:val="00984D0A"/>
    <w:rsid w:val="00986A7C"/>
    <w:rsid w:val="00990F45"/>
    <w:rsid w:val="00991FFF"/>
    <w:rsid w:val="00992FA0"/>
    <w:rsid w:val="00994846"/>
    <w:rsid w:val="00994FD2"/>
    <w:rsid w:val="009A00F3"/>
    <w:rsid w:val="009A15FE"/>
    <w:rsid w:val="009A5D94"/>
    <w:rsid w:val="009A7BE9"/>
    <w:rsid w:val="009B026D"/>
    <w:rsid w:val="009B0442"/>
    <w:rsid w:val="009B32DF"/>
    <w:rsid w:val="009C63B5"/>
    <w:rsid w:val="009D2C81"/>
    <w:rsid w:val="009D3493"/>
    <w:rsid w:val="009D69AB"/>
    <w:rsid w:val="009D6FEE"/>
    <w:rsid w:val="009E2B79"/>
    <w:rsid w:val="009E349C"/>
    <w:rsid w:val="009E57E4"/>
    <w:rsid w:val="009E7665"/>
    <w:rsid w:val="009F7734"/>
    <w:rsid w:val="00A10BA7"/>
    <w:rsid w:val="00A15283"/>
    <w:rsid w:val="00A15F09"/>
    <w:rsid w:val="00A161DC"/>
    <w:rsid w:val="00A2280A"/>
    <w:rsid w:val="00A242F7"/>
    <w:rsid w:val="00A32ADD"/>
    <w:rsid w:val="00A3786C"/>
    <w:rsid w:val="00A430D0"/>
    <w:rsid w:val="00A430D8"/>
    <w:rsid w:val="00A439FA"/>
    <w:rsid w:val="00A46DE5"/>
    <w:rsid w:val="00A54DC4"/>
    <w:rsid w:val="00A71210"/>
    <w:rsid w:val="00A715D8"/>
    <w:rsid w:val="00A71F34"/>
    <w:rsid w:val="00A74F24"/>
    <w:rsid w:val="00A94B44"/>
    <w:rsid w:val="00A9742A"/>
    <w:rsid w:val="00AA13BF"/>
    <w:rsid w:val="00AA548A"/>
    <w:rsid w:val="00AB121F"/>
    <w:rsid w:val="00AB19F8"/>
    <w:rsid w:val="00AB3A86"/>
    <w:rsid w:val="00AB5F4A"/>
    <w:rsid w:val="00AC31E8"/>
    <w:rsid w:val="00AC591E"/>
    <w:rsid w:val="00AD184C"/>
    <w:rsid w:val="00AD2A62"/>
    <w:rsid w:val="00AD35EA"/>
    <w:rsid w:val="00AF08D6"/>
    <w:rsid w:val="00AF7322"/>
    <w:rsid w:val="00B021B1"/>
    <w:rsid w:val="00B17E29"/>
    <w:rsid w:val="00B213D6"/>
    <w:rsid w:val="00B27AE5"/>
    <w:rsid w:val="00B34A74"/>
    <w:rsid w:val="00B34BEB"/>
    <w:rsid w:val="00B34F4C"/>
    <w:rsid w:val="00B540E1"/>
    <w:rsid w:val="00B569B0"/>
    <w:rsid w:val="00B57866"/>
    <w:rsid w:val="00B61B6C"/>
    <w:rsid w:val="00B6622F"/>
    <w:rsid w:val="00B66FA6"/>
    <w:rsid w:val="00B67298"/>
    <w:rsid w:val="00B7196C"/>
    <w:rsid w:val="00B761EE"/>
    <w:rsid w:val="00B76FC1"/>
    <w:rsid w:val="00B834BF"/>
    <w:rsid w:val="00B85F6A"/>
    <w:rsid w:val="00B87882"/>
    <w:rsid w:val="00B90C67"/>
    <w:rsid w:val="00B92213"/>
    <w:rsid w:val="00B92528"/>
    <w:rsid w:val="00B9500D"/>
    <w:rsid w:val="00B965BF"/>
    <w:rsid w:val="00B97C7D"/>
    <w:rsid w:val="00BA0379"/>
    <w:rsid w:val="00BA2757"/>
    <w:rsid w:val="00BA670D"/>
    <w:rsid w:val="00BB01D3"/>
    <w:rsid w:val="00BB2F1A"/>
    <w:rsid w:val="00BB2F5A"/>
    <w:rsid w:val="00BB59D1"/>
    <w:rsid w:val="00BB67B5"/>
    <w:rsid w:val="00BD4349"/>
    <w:rsid w:val="00BD4E5E"/>
    <w:rsid w:val="00BD51B1"/>
    <w:rsid w:val="00BD681D"/>
    <w:rsid w:val="00BD71B2"/>
    <w:rsid w:val="00BE0523"/>
    <w:rsid w:val="00BE5F59"/>
    <w:rsid w:val="00BF2C6D"/>
    <w:rsid w:val="00BF3256"/>
    <w:rsid w:val="00C0186C"/>
    <w:rsid w:val="00C01A92"/>
    <w:rsid w:val="00C113AD"/>
    <w:rsid w:val="00C140AC"/>
    <w:rsid w:val="00C14186"/>
    <w:rsid w:val="00C16FF1"/>
    <w:rsid w:val="00C20E00"/>
    <w:rsid w:val="00C21D05"/>
    <w:rsid w:val="00C25711"/>
    <w:rsid w:val="00C2760E"/>
    <w:rsid w:val="00C33181"/>
    <w:rsid w:val="00C33E24"/>
    <w:rsid w:val="00C36F4B"/>
    <w:rsid w:val="00C379B8"/>
    <w:rsid w:val="00C45232"/>
    <w:rsid w:val="00C46EFF"/>
    <w:rsid w:val="00C521B8"/>
    <w:rsid w:val="00C60357"/>
    <w:rsid w:val="00C613B5"/>
    <w:rsid w:val="00C63821"/>
    <w:rsid w:val="00C655DE"/>
    <w:rsid w:val="00C66968"/>
    <w:rsid w:val="00C7163A"/>
    <w:rsid w:val="00C73B8F"/>
    <w:rsid w:val="00C76FC4"/>
    <w:rsid w:val="00C815B4"/>
    <w:rsid w:val="00C84065"/>
    <w:rsid w:val="00C920AA"/>
    <w:rsid w:val="00C92826"/>
    <w:rsid w:val="00C93C0B"/>
    <w:rsid w:val="00CA3E15"/>
    <w:rsid w:val="00CA5CAD"/>
    <w:rsid w:val="00CA7405"/>
    <w:rsid w:val="00CB15CC"/>
    <w:rsid w:val="00CB220B"/>
    <w:rsid w:val="00CB31DC"/>
    <w:rsid w:val="00CC1790"/>
    <w:rsid w:val="00CC2B99"/>
    <w:rsid w:val="00CC488C"/>
    <w:rsid w:val="00CC6F2E"/>
    <w:rsid w:val="00CC7205"/>
    <w:rsid w:val="00CD1D27"/>
    <w:rsid w:val="00CD2D3A"/>
    <w:rsid w:val="00CD51E6"/>
    <w:rsid w:val="00CE3DD6"/>
    <w:rsid w:val="00CF122C"/>
    <w:rsid w:val="00CF122F"/>
    <w:rsid w:val="00CF53F8"/>
    <w:rsid w:val="00D017D4"/>
    <w:rsid w:val="00D11393"/>
    <w:rsid w:val="00D20EFC"/>
    <w:rsid w:val="00D241AB"/>
    <w:rsid w:val="00D30D44"/>
    <w:rsid w:val="00D30E4F"/>
    <w:rsid w:val="00D31CEE"/>
    <w:rsid w:val="00D3370D"/>
    <w:rsid w:val="00D3412B"/>
    <w:rsid w:val="00D3759B"/>
    <w:rsid w:val="00D40BF5"/>
    <w:rsid w:val="00D41947"/>
    <w:rsid w:val="00D50523"/>
    <w:rsid w:val="00D54501"/>
    <w:rsid w:val="00D64B79"/>
    <w:rsid w:val="00D71334"/>
    <w:rsid w:val="00D72B9E"/>
    <w:rsid w:val="00D7428A"/>
    <w:rsid w:val="00D7529B"/>
    <w:rsid w:val="00D80A77"/>
    <w:rsid w:val="00D83157"/>
    <w:rsid w:val="00D83221"/>
    <w:rsid w:val="00D83461"/>
    <w:rsid w:val="00D871D6"/>
    <w:rsid w:val="00D91D6B"/>
    <w:rsid w:val="00D92A6F"/>
    <w:rsid w:val="00D935AF"/>
    <w:rsid w:val="00D9420B"/>
    <w:rsid w:val="00D949F8"/>
    <w:rsid w:val="00DA09E7"/>
    <w:rsid w:val="00DA3F61"/>
    <w:rsid w:val="00DB446E"/>
    <w:rsid w:val="00DB5FE7"/>
    <w:rsid w:val="00DB6F44"/>
    <w:rsid w:val="00DC055B"/>
    <w:rsid w:val="00DC4FB3"/>
    <w:rsid w:val="00DD0A54"/>
    <w:rsid w:val="00DD3C0A"/>
    <w:rsid w:val="00DD4545"/>
    <w:rsid w:val="00DE04C0"/>
    <w:rsid w:val="00DE2729"/>
    <w:rsid w:val="00DE31AC"/>
    <w:rsid w:val="00DE4A7E"/>
    <w:rsid w:val="00DE7D00"/>
    <w:rsid w:val="00DF2B5F"/>
    <w:rsid w:val="00DF2C74"/>
    <w:rsid w:val="00DF35AC"/>
    <w:rsid w:val="00DF545B"/>
    <w:rsid w:val="00DF722E"/>
    <w:rsid w:val="00DF75B7"/>
    <w:rsid w:val="00DF7E89"/>
    <w:rsid w:val="00E0336E"/>
    <w:rsid w:val="00E078B7"/>
    <w:rsid w:val="00E12B55"/>
    <w:rsid w:val="00E2013E"/>
    <w:rsid w:val="00E206D3"/>
    <w:rsid w:val="00E30B5A"/>
    <w:rsid w:val="00E3438C"/>
    <w:rsid w:val="00E40AC3"/>
    <w:rsid w:val="00E42A4B"/>
    <w:rsid w:val="00E5114D"/>
    <w:rsid w:val="00E51B39"/>
    <w:rsid w:val="00E51D80"/>
    <w:rsid w:val="00E523CF"/>
    <w:rsid w:val="00E54ED2"/>
    <w:rsid w:val="00E55D48"/>
    <w:rsid w:val="00E65102"/>
    <w:rsid w:val="00E6708E"/>
    <w:rsid w:val="00E773E7"/>
    <w:rsid w:val="00E85B39"/>
    <w:rsid w:val="00E868B1"/>
    <w:rsid w:val="00E86967"/>
    <w:rsid w:val="00E879D4"/>
    <w:rsid w:val="00E903D2"/>
    <w:rsid w:val="00E91B4F"/>
    <w:rsid w:val="00EA4D7B"/>
    <w:rsid w:val="00EB728C"/>
    <w:rsid w:val="00EB7983"/>
    <w:rsid w:val="00EC0B18"/>
    <w:rsid w:val="00EC21BA"/>
    <w:rsid w:val="00EC64DD"/>
    <w:rsid w:val="00ED4F95"/>
    <w:rsid w:val="00EE1FCB"/>
    <w:rsid w:val="00EF3341"/>
    <w:rsid w:val="00EF76EE"/>
    <w:rsid w:val="00F037E7"/>
    <w:rsid w:val="00F03959"/>
    <w:rsid w:val="00F074A2"/>
    <w:rsid w:val="00F147E6"/>
    <w:rsid w:val="00F152AB"/>
    <w:rsid w:val="00F213E7"/>
    <w:rsid w:val="00F31E29"/>
    <w:rsid w:val="00F31FC0"/>
    <w:rsid w:val="00F3229A"/>
    <w:rsid w:val="00F32A46"/>
    <w:rsid w:val="00F505CC"/>
    <w:rsid w:val="00F511D6"/>
    <w:rsid w:val="00F55E36"/>
    <w:rsid w:val="00F615A5"/>
    <w:rsid w:val="00F67217"/>
    <w:rsid w:val="00F67E3D"/>
    <w:rsid w:val="00F7032E"/>
    <w:rsid w:val="00F72121"/>
    <w:rsid w:val="00F72A57"/>
    <w:rsid w:val="00F73291"/>
    <w:rsid w:val="00F73A97"/>
    <w:rsid w:val="00F82E6E"/>
    <w:rsid w:val="00F965AF"/>
    <w:rsid w:val="00FA3364"/>
    <w:rsid w:val="00FA6EA4"/>
    <w:rsid w:val="00FB115C"/>
    <w:rsid w:val="00FB4241"/>
    <w:rsid w:val="00FB54F6"/>
    <w:rsid w:val="00FC0477"/>
    <w:rsid w:val="00FC2993"/>
    <w:rsid w:val="00FD21B4"/>
    <w:rsid w:val="00FD526F"/>
    <w:rsid w:val="00FE2C73"/>
    <w:rsid w:val="00FE2EF9"/>
    <w:rsid w:val="00FE4BAC"/>
    <w:rsid w:val="00FE571F"/>
    <w:rsid w:val="00FE6DE9"/>
    <w:rsid w:val="00FF0472"/>
    <w:rsid w:val="00FF0D2A"/>
    <w:rsid w:val="00FF246A"/>
    <w:rsid w:val="00FF77A1"/>
    <w:rsid w:val="04430FE7"/>
    <w:rsid w:val="059D2DAD"/>
    <w:rsid w:val="1E6772CA"/>
    <w:rsid w:val="20485AC7"/>
    <w:rsid w:val="38CC7CB5"/>
    <w:rsid w:val="63DA7B82"/>
    <w:rsid w:val="652E1DE6"/>
    <w:rsid w:val="6828784F"/>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99" w:semiHidden="0" w:name="toc 1"/>
    <w:lsdException w:unhideWhenUsed="0" w:uiPriority="99" w:semiHidden="0" w:name="toc 2"/>
    <w:lsdException w:qFormat="1" w:unhideWhenUsed="0" w:uiPriority="99" w:semiHidden="0" w:name="toc 3"/>
    <w:lsdException w:unhideWhenUsed="0" w:uiPriority="99" w:semiHidden="0" w:name="toc 4"/>
    <w:lsdException w:unhideWhenUsed="0" w:uiPriority="99" w:semiHidden="0" w:name="toc 5"/>
    <w:lsdException w:qFormat="1"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iPriority="99" w:name="footnote text" w:locked="1"/>
    <w:lsdException w:unhideWhenUsed="0" w:uiPriority="99" w:semiHidden="0" w:name="annotation text"/>
    <w:lsdException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nhideWhenUsed="0" w:uiPriority="99" w:semiHidden="0" w:name="Body Text"/>
    <w:lsdException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nhideWhenUsed="0" w:uiPriority="99" w:semiHidden="0" w:name="FollowedHyperlink"/>
    <w:lsdException w:qFormat="1" w:unhideWhenUsed="0" w:uiPriority="99" w:semiHidden="0" w:name="Strong"/>
    <w:lsdException w:qFormat="1" w:unhideWhenUsed="0" w:uiPriority="20" w:semiHidden="0" w:name="Emphasis" w:locked="1"/>
    <w:lsdException w:unhideWhenUsed="0" w:uiPriority="99" w:semiHidden="0" w:name="Document Map"/>
    <w:lsdException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qFormat/>
    <w:uiPriority w:val="99"/>
    <w:pPr>
      <w:keepNext/>
      <w:keepLines/>
      <w:widowControl/>
      <w:spacing w:before="340" w:after="330"/>
      <w:jc w:val="left"/>
      <w:outlineLvl w:val="0"/>
    </w:pPr>
    <w:rPr>
      <w:rFonts w:ascii="华文细黑"/>
      <w:b/>
      <w:bCs/>
      <w:kern w:val="0"/>
      <w:sz w:val="28"/>
      <w:szCs w:val="44"/>
    </w:rPr>
  </w:style>
  <w:style w:type="paragraph" w:styleId="3">
    <w:name w:val="heading 2"/>
    <w:basedOn w:val="1"/>
    <w:next w:val="1"/>
    <w:link w:val="43"/>
    <w:qFormat/>
    <w:uiPriority w:val="99"/>
    <w:pPr>
      <w:spacing w:before="260" w:after="260"/>
      <w:jc w:val="center"/>
      <w:outlineLvl w:val="1"/>
    </w:pPr>
    <w:rPr>
      <w:rFonts w:ascii="华文细黑" w:hAnsi="Arial"/>
      <w:b/>
      <w:bCs/>
      <w:kern w:val="0"/>
      <w:sz w:val="44"/>
      <w:szCs w:val="32"/>
    </w:rPr>
  </w:style>
  <w:style w:type="paragraph" w:styleId="4">
    <w:name w:val="heading 3"/>
    <w:basedOn w:val="1"/>
    <w:next w:val="1"/>
    <w:link w:val="45"/>
    <w:qFormat/>
    <w:uiPriority w:val="99"/>
    <w:pPr>
      <w:keepNext/>
      <w:keepLines/>
      <w:widowControl/>
      <w:spacing w:before="260" w:after="260" w:line="416" w:lineRule="auto"/>
      <w:jc w:val="left"/>
      <w:outlineLvl w:val="2"/>
    </w:pPr>
    <w:rPr>
      <w:rFonts w:eastAsia="华文细黑"/>
      <w:bCs/>
      <w:kern w:val="0"/>
      <w:sz w:val="36"/>
      <w:szCs w:val="32"/>
    </w:rPr>
  </w:style>
  <w:style w:type="paragraph" w:styleId="5">
    <w:name w:val="heading 4"/>
    <w:basedOn w:val="1"/>
    <w:next w:val="1"/>
    <w:link w:val="46"/>
    <w:qFormat/>
    <w:uiPriority w:val="99"/>
    <w:pPr>
      <w:keepNext/>
      <w:keepLines/>
      <w:widowControl/>
      <w:spacing w:before="280" w:after="290" w:line="376" w:lineRule="auto"/>
      <w:jc w:val="left"/>
      <w:outlineLvl w:val="3"/>
    </w:pPr>
    <w:rPr>
      <w:rFonts w:ascii="Arial" w:hAnsi="Arial" w:eastAsia="黑体"/>
      <w:b/>
      <w:bCs/>
      <w:kern w:val="0"/>
      <w:sz w:val="28"/>
      <w:szCs w:val="28"/>
    </w:rPr>
  </w:style>
  <w:style w:type="paragraph" w:styleId="6">
    <w:name w:val="heading 5"/>
    <w:basedOn w:val="1"/>
    <w:next w:val="1"/>
    <w:link w:val="47"/>
    <w:qFormat/>
    <w:uiPriority w:val="99"/>
    <w:pPr>
      <w:keepNext/>
      <w:keepLines/>
      <w:widowControl/>
      <w:spacing w:before="280" w:after="290" w:line="376" w:lineRule="auto"/>
      <w:jc w:val="left"/>
      <w:outlineLvl w:val="4"/>
    </w:pPr>
    <w:rPr>
      <w:b/>
      <w:bCs/>
      <w:kern w:val="0"/>
      <w:sz w:val="28"/>
      <w:szCs w:val="28"/>
    </w:rPr>
  </w:style>
  <w:style w:type="paragraph" w:styleId="7">
    <w:name w:val="heading 6"/>
    <w:basedOn w:val="1"/>
    <w:next w:val="1"/>
    <w:link w:val="48"/>
    <w:qFormat/>
    <w:uiPriority w:val="99"/>
    <w:pPr>
      <w:keepNext/>
      <w:keepLines/>
      <w:widowControl/>
      <w:spacing w:before="240" w:after="64" w:line="320" w:lineRule="auto"/>
      <w:jc w:val="left"/>
      <w:outlineLvl w:val="5"/>
    </w:pPr>
    <w:rPr>
      <w:rFonts w:ascii="Arial" w:hAnsi="Arial" w:eastAsia="黑体"/>
      <w:b/>
      <w:bCs/>
      <w:kern w:val="0"/>
      <w:sz w:val="24"/>
    </w:rPr>
  </w:style>
  <w:style w:type="paragraph" w:styleId="8">
    <w:name w:val="heading 7"/>
    <w:basedOn w:val="1"/>
    <w:next w:val="1"/>
    <w:link w:val="49"/>
    <w:qFormat/>
    <w:uiPriority w:val="99"/>
    <w:pPr>
      <w:keepNext/>
      <w:keepLines/>
      <w:widowControl/>
      <w:spacing w:before="240" w:after="64" w:line="320" w:lineRule="auto"/>
      <w:jc w:val="left"/>
      <w:outlineLvl w:val="6"/>
    </w:pPr>
    <w:rPr>
      <w:b/>
      <w:bCs/>
      <w:kern w:val="0"/>
      <w:sz w:val="24"/>
    </w:rPr>
  </w:style>
  <w:style w:type="paragraph" w:styleId="9">
    <w:name w:val="heading 8"/>
    <w:basedOn w:val="1"/>
    <w:next w:val="1"/>
    <w:link w:val="50"/>
    <w:qFormat/>
    <w:uiPriority w:val="99"/>
    <w:pPr>
      <w:keepNext/>
      <w:keepLines/>
      <w:widowControl/>
      <w:spacing w:before="240" w:after="64" w:line="320" w:lineRule="auto"/>
      <w:jc w:val="left"/>
      <w:outlineLvl w:val="7"/>
    </w:pPr>
    <w:rPr>
      <w:rFonts w:ascii="Arial" w:hAnsi="Arial" w:eastAsia="黑体"/>
      <w:kern w:val="0"/>
      <w:sz w:val="24"/>
    </w:rPr>
  </w:style>
  <w:style w:type="paragraph" w:styleId="10">
    <w:name w:val="heading 9"/>
    <w:basedOn w:val="1"/>
    <w:next w:val="1"/>
    <w:link w:val="51"/>
    <w:qFormat/>
    <w:uiPriority w:val="99"/>
    <w:pPr>
      <w:keepNext/>
      <w:keepLines/>
      <w:widowControl/>
      <w:spacing w:before="240" w:after="64" w:line="320" w:lineRule="auto"/>
      <w:jc w:val="left"/>
      <w:outlineLvl w:val="8"/>
    </w:pPr>
    <w:rPr>
      <w:rFonts w:ascii="Arial" w:hAnsi="Arial" w:eastAsia="黑体"/>
      <w:kern w:val="0"/>
      <w:szCs w:val="21"/>
    </w:rPr>
  </w:style>
  <w:style w:type="character" w:default="1" w:styleId="35">
    <w:name w:val="Default Paragraph Font"/>
    <w:unhideWhenUsed/>
    <w:uiPriority w:val="1"/>
  </w:style>
  <w:style w:type="table" w:default="1" w:styleId="41">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53"/>
    <w:uiPriority w:val="99"/>
    <w:rPr>
      <w:b/>
      <w:bCs/>
    </w:rPr>
  </w:style>
  <w:style w:type="paragraph" w:styleId="12">
    <w:name w:val="annotation text"/>
    <w:basedOn w:val="1"/>
    <w:link w:val="52"/>
    <w:uiPriority w:val="99"/>
    <w:pPr>
      <w:jc w:val="left"/>
    </w:pPr>
    <w:rPr>
      <w:kern w:val="0"/>
      <w:sz w:val="20"/>
    </w:rPr>
  </w:style>
  <w:style w:type="paragraph" w:styleId="13">
    <w:name w:val="toc 7"/>
    <w:basedOn w:val="1"/>
    <w:next w:val="1"/>
    <w:uiPriority w:val="99"/>
    <w:pPr>
      <w:widowControl/>
      <w:ind w:left="1440"/>
      <w:jc w:val="left"/>
    </w:pPr>
    <w:rPr>
      <w:kern w:val="0"/>
      <w:sz w:val="18"/>
      <w:szCs w:val="18"/>
    </w:rPr>
  </w:style>
  <w:style w:type="paragraph" w:styleId="14">
    <w:name w:val="Normal Indent"/>
    <w:basedOn w:val="1"/>
    <w:uiPriority w:val="99"/>
    <w:pPr>
      <w:ind w:firstLine="420"/>
    </w:pPr>
    <w:rPr>
      <w:szCs w:val="20"/>
    </w:rPr>
  </w:style>
  <w:style w:type="paragraph" w:styleId="15">
    <w:name w:val="caption"/>
    <w:basedOn w:val="1"/>
    <w:next w:val="1"/>
    <w:qFormat/>
    <w:uiPriority w:val="99"/>
    <w:rPr>
      <w:rFonts w:ascii="Cambria" w:hAnsi="Cambria" w:eastAsia="黑体"/>
      <w:sz w:val="20"/>
      <w:szCs w:val="20"/>
    </w:rPr>
  </w:style>
  <w:style w:type="paragraph" w:styleId="16">
    <w:name w:val="Document Map"/>
    <w:basedOn w:val="1"/>
    <w:link w:val="55"/>
    <w:uiPriority w:val="99"/>
    <w:pPr>
      <w:widowControl/>
      <w:shd w:val="clear" w:color="auto" w:fill="000080"/>
      <w:jc w:val="left"/>
    </w:pPr>
    <w:rPr>
      <w:kern w:val="0"/>
      <w:sz w:val="24"/>
    </w:rPr>
  </w:style>
  <w:style w:type="paragraph" w:styleId="17">
    <w:name w:val="Body Text"/>
    <w:basedOn w:val="1"/>
    <w:link w:val="56"/>
    <w:uiPriority w:val="99"/>
    <w:pPr>
      <w:spacing w:after="120"/>
    </w:pPr>
  </w:style>
  <w:style w:type="paragraph" w:styleId="18">
    <w:name w:val="Body Text Indent"/>
    <w:basedOn w:val="1"/>
    <w:link w:val="57"/>
    <w:uiPriority w:val="99"/>
    <w:pPr>
      <w:spacing w:line="360" w:lineRule="auto"/>
      <w:ind w:firstLine="630"/>
    </w:pPr>
    <w:rPr>
      <w:rFonts w:ascii="宋体" w:hAnsi="宋体"/>
      <w:sz w:val="24"/>
      <w:szCs w:val="20"/>
    </w:rPr>
  </w:style>
  <w:style w:type="paragraph" w:styleId="19">
    <w:name w:val="toc 5"/>
    <w:basedOn w:val="1"/>
    <w:next w:val="1"/>
    <w:uiPriority w:val="99"/>
    <w:pPr>
      <w:widowControl/>
      <w:ind w:left="960"/>
      <w:jc w:val="left"/>
    </w:pPr>
    <w:rPr>
      <w:kern w:val="0"/>
      <w:sz w:val="18"/>
      <w:szCs w:val="18"/>
    </w:rPr>
  </w:style>
  <w:style w:type="paragraph" w:styleId="20">
    <w:name w:val="toc 3"/>
    <w:basedOn w:val="1"/>
    <w:next w:val="1"/>
    <w:qFormat/>
    <w:uiPriority w:val="99"/>
    <w:pPr>
      <w:widowControl/>
      <w:ind w:left="480"/>
      <w:jc w:val="left"/>
    </w:pPr>
    <w:rPr>
      <w:i/>
      <w:iCs/>
      <w:kern w:val="0"/>
      <w:sz w:val="20"/>
      <w:szCs w:val="20"/>
    </w:rPr>
  </w:style>
  <w:style w:type="paragraph" w:styleId="21">
    <w:name w:val="Plain Text"/>
    <w:basedOn w:val="1"/>
    <w:link w:val="58"/>
    <w:uiPriority w:val="99"/>
    <w:rPr>
      <w:rFonts w:ascii="宋体" w:hAnsi="Courier New"/>
      <w:kern w:val="0"/>
      <w:sz w:val="20"/>
      <w:szCs w:val="21"/>
    </w:rPr>
  </w:style>
  <w:style w:type="paragraph" w:styleId="22">
    <w:name w:val="toc 8"/>
    <w:basedOn w:val="1"/>
    <w:next w:val="1"/>
    <w:uiPriority w:val="99"/>
    <w:pPr>
      <w:widowControl/>
      <w:ind w:left="1680"/>
      <w:jc w:val="left"/>
    </w:pPr>
    <w:rPr>
      <w:kern w:val="0"/>
      <w:sz w:val="18"/>
      <w:szCs w:val="18"/>
    </w:rPr>
  </w:style>
  <w:style w:type="paragraph" w:styleId="23">
    <w:name w:val="Date"/>
    <w:basedOn w:val="1"/>
    <w:next w:val="1"/>
    <w:link w:val="59"/>
    <w:qFormat/>
    <w:uiPriority w:val="99"/>
    <w:pPr>
      <w:ind w:left="100" w:leftChars="2500"/>
    </w:pPr>
  </w:style>
  <w:style w:type="paragraph" w:styleId="24">
    <w:name w:val="Body Text Indent 2"/>
    <w:basedOn w:val="1"/>
    <w:link w:val="60"/>
    <w:qFormat/>
    <w:uiPriority w:val="99"/>
    <w:pPr>
      <w:spacing w:after="120" w:line="480" w:lineRule="auto"/>
      <w:ind w:left="420" w:leftChars="200"/>
    </w:pPr>
  </w:style>
  <w:style w:type="paragraph" w:styleId="25">
    <w:name w:val="Balloon Text"/>
    <w:basedOn w:val="1"/>
    <w:link w:val="61"/>
    <w:qFormat/>
    <w:uiPriority w:val="99"/>
    <w:rPr>
      <w:kern w:val="0"/>
      <w:sz w:val="18"/>
      <w:szCs w:val="18"/>
    </w:rPr>
  </w:style>
  <w:style w:type="paragraph" w:styleId="26">
    <w:name w:val="footer"/>
    <w:basedOn w:val="1"/>
    <w:link w:val="62"/>
    <w:qFormat/>
    <w:uiPriority w:val="99"/>
    <w:pPr>
      <w:tabs>
        <w:tab w:val="center" w:pos="4153"/>
        <w:tab w:val="right" w:pos="8306"/>
      </w:tabs>
      <w:snapToGrid w:val="0"/>
      <w:jc w:val="left"/>
    </w:pPr>
    <w:rPr>
      <w:sz w:val="18"/>
      <w:szCs w:val="18"/>
    </w:rPr>
  </w:style>
  <w:style w:type="paragraph" w:styleId="27">
    <w:name w:val="header"/>
    <w:basedOn w:val="1"/>
    <w:link w:val="63"/>
    <w:uiPriority w:val="99"/>
    <w:pPr>
      <w:pBdr>
        <w:bottom w:val="single" w:color="auto" w:sz="6" w:space="1"/>
      </w:pBdr>
      <w:tabs>
        <w:tab w:val="center" w:pos="4153"/>
        <w:tab w:val="right" w:pos="8306"/>
      </w:tabs>
      <w:snapToGrid w:val="0"/>
      <w:jc w:val="center"/>
    </w:pPr>
    <w:rPr>
      <w:sz w:val="18"/>
      <w:szCs w:val="18"/>
    </w:rPr>
  </w:style>
  <w:style w:type="paragraph" w:styleId="28">
    <w:name w:val="toc 1"/>
    <w:basedOn w:val="1"/>
    <w:next w:val="1"/>
    <w:uiPriority w:val="99"/>
    <w:pPr>
      <w:widowControl/>
      <w:spacing w:before="120" w:after="120"/>
      <w:jc w:val="left"/>
    </w:pPr>
    <w:rPr>
      <w:b/>
      <w:bCs/>
      <w:caps/>
      <w:kern w:val="0"/>
      <w:sz w:val="20"/>
      <w:szCs w:val="20"/>
    </w:rPr>
  </w:style>
  <w:style w:type="paragraph" w:styleId="29">
    <w:name w:val="toc 4"/>
    <w:basedOn w:val="1"/>
    <w:next w:val="1"/>
    <w:uiPriority w:val="99"/>
    <w:pPr>
      <w:widowControl/>
      <w:ind w:left="720"/>
      <w:jc w:val="left"/>
    </w:pPr>
    <w:rPr>
      <w:kern w:val="0"/>
      <w:sz w:val="18"/>
      <w:szCs w:val="18"/>
    </w:rPr>
  </w:style>
  <w:style w:type="paragraph" w:styleId="30">
    <w:name w:val="toc 6"/>
    <w:basedOn w:val="1"/>
    <w:next w:val="1"/>
    <w:qFormat/>
    <w:uiPriority w:val="99"/>
    <w:pPr>
      <w:widowControl/>
      <w:ind w:left="1200"/>
      <w:jc w:val="left"/>
    </w:pPr>
    <w:rPr>
      <w:kern w:val="0"/>
      <w:sz w:val="18"/>
      <w:szCs w:val="18"/>
    </w:rPr>
  </w:style>
  <w:style w:type="paragraph" w:styleId="31">
    <w:name w:val="toc 2"/>
    <w:basedOn w:val="1"/>
    <w:next w:val="1"/>
    <w:uiPriority w:val="99"/>
    <w:pPr>
      <w:widowControl/>
      <w:ind w:left="240"/>
      <w:jc w:val="left"/>
    </w:pPr>
    <w:rPr>
      <w:smallCaps/>
      <w:kern w:val="0"/>
      <w:sz w:val="20"/>
      <w:szCs w:val="20"/>
    </w:rPr>
  </w:style>
  <w:style w:type="paragraph" w:styleId="32">
    <w:name w:val="toc 9"/>
    <w:basedOn w:val="1"/>
    <w:next w:val="1"/>
    <w:uiPriority w:val="99"/>
    <w:pPr>
      <w:widowControl/>
      <w:ind w:left="1920"/>
      <w:jc w:val="left"/>
    </w:pPr>
    <w:rPr>
      <w:kern w:val="0"/>
      <w:sz w:val="18"/>
      <w:szCs w:val="18"/>
    </w:rPr>
  </w:style>
  <w:style w:type="paragraph" w:styleId="33">
    <w:name w:val="Normal (Web)"/>
    <w:basedOn w:val="1"/>
    <w:qFormat/>
    <w:uiPriority w:val="99"/>
    <w:pPr>
      <w:spacing w:before="100" w:beforeAutospacing="1" w:after="100" w:afterAutospacing="1"/>
      <w:jc w:val="left"/>
    </w:pPr>
    <w:rPr>
      <w:kern w:val="0"/>
      <w:sz w:val="24"/>
    </w:rPr>
  </w:style>
  <w:style w:type="paragraph" w:styleId="34">
    <w:name w:val="index 1"/>
    <w:basedOn w:val="1"/>
    <w:next w:val="1"/>
    <w:uiPriority w:val="99"/>
    <w:pPr>
      <w:spacing w:line="360" w:lineRule="auto"/>
    </w:pPr>
    <w:rPr>
      <w:rFonts w:ascii="宋体"/>
      <w:b/>
      <w:color w:val="0000FF"/>
      <w:sz w:val="24"/>
    </w:rPr>
  </w:style>
  <w:style w:type="character" w:styleId="36">
    <w:name w:val="Strong"/>
    <w:basedOn w:val="35"/>
    <w:qFormat/>
    <w:uiPriority w:val="99"/>
    <w:rPr>
      <w:rFonts w:cs="Times New Roman"/>
      <w:b/>
    </w:rPr>
  </w:style>
  <w:style w:type="character" w:styleId="37">
    <w:name w:val="FollowedHyperlink"/>
    <w:basedOn w:val="35"/>
    <w:uiPriority w:val="99"/>
    <w:rPr>
      <w:rFonts w:cs="Times New Roman"/>
      <w:color w:val="800080"/>
      <w:u w:val="single"/>
    </w:rPr>
  </w:style>
  <w:style w:type="character" w:styleId="38">
    <w:name w:val="Emphasis"/>
    <w:basedOn w:val="35"/>
    <w:qFormat/>
    <w:locked/>
    <w:uiPriority w:val="20"/>
    <w:rPr>
      <w:i/>
      <w:iCs/>
    </w:rPr>
  </w:style>
  <w:style w:type="character" w:styleId="39">
    <w:name w:val="Hyperlink"/>
    <w:basedOn w:val="35"/>
    <w:qFormat/>
    <w:uiPriority w:val="99"/>
    <w:rPr>
      <w:rFonts w:cs="Times New Roman"/>
      <w:color w:val="0000FF"/>
      <w:u w:val="single"/>
    </w:rPr>
  </w:style>
  <w:style w:type="character" w:styleId="40">
    <w:name w:val="annotation reference"/>
    <w:basedOn w:val="35"/>
    <w:qFormat/>
    <w:uiPriority w:val="99"/>
    <w:rPr>
      <w:rFonts w:cs="Times New Roman"/>
      <w:sz w:val="21"/>
    </w:rPr>
  </w:style>
  <w:style w:type="table" w:styleId="42">
    <w:name w:val="Table Grid"/>
    <w:basedOn w:val="41"/>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3">
    <w:name w:val="标题 2 Char"/>
    <w:basedOn w:val="35"/>
    <w:link w:val="3"/>
    <w:qFormat/>
    <w:locked/>
    <w:uiPriority w:val="99"/>
    <w:rPr>
      <w:rFonts w:ascii="华文细黑" w:hAnsi="Arial" w:eastAsia="宋体" w:cs="Times New Roman"/>
      <w:b/>
      <w:bCs/>
      <w:kern w:val="0"/>
      <w:sz w:val="32"/>
      <w:szCs w:val="32"/>
    </w:rPr>
  </w:style>
  <w:style w:type="character" w:customStyle="1" w:styleId="44">
    <w:name w:val="标题 1 Char"/>
    <w:basedOn w:val="35"/>
    <w:link w:val="2"/>
    <w:qFormat/>
    <w:locked/>
    <w:uiPriority w:val="99"/>
    <w:rPr>
      <w:rFonts w:ascii="华文细黑" w:hAnsi="Times New Roman" w:eastAsia="宋体" w:cs="Times New Roman"/>
      <w:b/>
      <w:bCs/>
      <w:snapToGrid w:val="0"/>
      <w:kern w:val="0"/>
      <w:sz w:val="44"/>
      <w:szCs w:val="44"/>
    </w:rPr>
  </w:style>
  <w:style w:type="character" w:customStyle="1" w:styleId="45">
    <w:name w:val="标题 3 Char"/>
    <w:basedOn w:val="35"/>
    <w:link w:val="4"/>
    <w:qFormat/>
    <w:locked/>
    <w:uiPriority w:val="99"/>
    <w:rPr>
      <w:rFonts w:ascii="Times New Roman" w:hAnsi="Times New Roman" w:eastAsia="华文细黑" w:cs="Times New Roman"/>
      <w:bCs/>
      <w:kern w:val="0"/>
      <w:sz w:val="32"/>
      <w:szCs w:val="32"/>
    </w:rPr>
  </w:style>
  <w:style w:type="character" w:customStyle="1" w:styleId="46">
    <w:name w:val="标题 4 Char"/>
    <w:basedOn w:val="35"/>
    <w:link w:val="5"/>
    <w:qFormat/>
    <w:locked/>
    <w:uiPriority w:val="99"/>
    <w:rPr>
      <w:rFonts w:ascii="Arial" w:hAnsi="Arial" w:eastAsia="黑体" w:cs="Times New Roman"/>
      <w:b/>
      <w:bCs/>
      <w:kern w:val="0"/>
      <w:sz w:val="28"/>
      <w:szCs w:val="28"/>
    </w:rPr>
  </w:style>
  <w:style w:type="character" w:customStyle="1" w:styleId="47">
    <w:name w:val="标题 5 Char"/>
    <w:basedOn w:val="35"/>
    <w:link w:val="6"/>
    <w:qFormat/>
    <w:locked/>
    <w:uiPriority w:val="99"/>
    <w:rPr>
      <w:rFonts w:ascii="Times New Roman" w:hAnsi="Times New Roman" w:eastAsia="宋体" w:cs="Times New Roman"/>
      <w:b/>
      <w:bCs/>
      <w:kern w:val="0"/>
      <w:sz w:val="28"/>
      <w:szCs w:val="28"/>
    </w:rPr>
  </w:style>
  <w:style w:type="character" w:customStyle="1" w:styleId="48">
    <w:name w:val="标题 6 Char"/>
    <w:basedOn w:val="35"/>
    <w:link w:val="7"/>
    <w:qFormat/>
    <w:locked/>
    <w:uiPriority w:val="99"/>
    <w:rPr>
      <w:rFonts w:ascii="Arial" w:hAnsi="Arial" w:eastAsia="黑体" w:cs="Times New Roman"/>
      <w:b/>
      <w:bCs/>
      <w:kern w:val="0"/>
      <w:sz w:val="24"/>
      <w:szCs w:val="24"/>
    </w:rPr>
  </w:style>
  <w:style w:type="character" w:customStyle="1" w:styleId="49">
    <w:name w:val="标题 7 Char"/>
    <w:basedOn w:val="35"/>
    <w:link w:val="8"/>
    <w:qFormat/>
    <w:locked/>
    <w:uiPriority w:val="99"/>
    <w:rPr>
      <w:rFonts w:ascii="Times New Roman" w:hAnsi="Times New Roman" w:eastAsia="宋体" w:cs="Times New Roman"/>
      <w:b/>
      <w:bCs/>
      <w:kern w:val="0"/>
      <w:sz w:val="24"/>
      <w:szCs w:val="24"/>
    </w:rPr>
  </w:style>
  <w:style w:type="character" w:customStyle="1" w:styleId="50">
    <w:name w:val="标题 8 Char"/>
    <w:basedOn w:val="35"/>
    <w:link w:val="9"/>
    <w:qFormat/>
    <w:locked/>
    <w:uiPriority w:val="99"/>
    <w:rPr>
      <w:rFonts w:ascii="Arial" w:hAnsi="Arial" w:eastAsia="黑体" w:cs="Times New Roman"/>
      <w:kern w:val="0"/>
      <w:sz w:val="24"/>
      <w:szCs w:val="24"/>
    </w:rPr>
  </w:style>
  <w:style w:type="character" w:customStyle="1" w:styleId="51">
    <w:name w:val="标题 9 Char"/>
    <w:basedOn w:val="35"/>
    <w:link w:val="10"/>
    <w:qFormat/>
    <w:locked/>
    <w:uiPriority w:val="99"/>
    <w:rPr>
      <w:rFonts w:ascii="Arial" w:hAnsi="Arial" w:eastAsia="黑体" w:cs="Times New Roman"/>
      <w:kern w:val="0"/>
      <w:sz w:val="21"/>
      <w:szCs w:val="21"/>
    </w:rPr>
  </w:style>
  <w:style w:type="character" w:customStyle="1" w:styleId="52">
    <w:name w:val="批注文字 Char"/>
    <w:basedOn w:val="35"/>
    <w:link w:val="12"/>
    <w:locked/>
    <w:uiPriority w:val="99"/>
    <w:rPr>
      <w:rFonts w:ascii="Times New Roman" w:hAnsi="Times New Roman"/>
      <w:sz w:val="24"/>
    </w:rPr>
  </w:style>
  <w:style w:type="character" w:customStyle="1" w:styleId="53">
    <w:name w:val="批注主题 Char"/>
    <w:basedOn w:val="54"/>
    <w:link w:val="11"/>
    <w:locked/>
    <w:uiPriority w:val="99"/>
    <w:rPr>
      <w:rFonts w:ascii="Times New Roman" w:hAnsi="Times New Roman" w:eastAsia="宋体" w:cs="Times New Roman"/>
      <w:b/>
      <w:bCs/>
      <w:sz w:val="24"/>
      <w:szCs w:val="24"/>
    </w:rPr>
  </w:style>
  <w:style w:type="character" w:customStyle="1" w:styleId="54">
    <w:name w:val="批注文字 Char1"/>
    <w:basedOn w:val="35"/>
    <w:uiPriority w:val="99"/>
    <w:rPr>
      <w:rFonts w:ascii="Times New Roman" w:hAnsi="Times New Roman" w:eastAsia="宋体" w:cs="Times New Roman"/>
      <w:sz w:val="24"/>
      <w:szCs w:val="24"/>
    </w:rPr>
  </w:style>
  <w:style w:type="character" w:customStyle="1" w:styleId="55">
    <w:name w:val="文档结构图 Char"/>
    <w:basedOn w:val="35"/>
    <w:link w:val="16"/>
    <w:locked/>
    <w:uiPriority w:val="99"/>
    <w:rPr>
      <w:rFonts w:ascii="Times New Roman" w:hAnsi="Times New Roman"/>
      <w:sz w:val="24"/>
      <w:shd w:val="clear" w:color="auto" w:fill="000080"/>
    </w:rPr>
  </w:style>
  <w:style w:type="character" w:customStyle="1" w:styleId="56">
    <w:name w:val="正文文本 Char"/>
    <w:basedOn w:val="35"/>
    <w:link w:val="17"/>
    <w:locked/>
    <w:uiPriority w:val="99"/>
    <w:rPr>
      <w:rFonts w:ascii="Times New Roman" w:hAnsi="Times New Roman" w:eastAsia="宋体" w:cs="Times New Roman"/>
      <w:sz w:val="24"/>
      <w:szCs w:val="24"/>
    </w:rPr>
  </w:style>
  <w:style w:type="character" w:customStyle="1" w:styleId="57">
    <w:name w:val="正文文本缩进 Char1"/>
    <w:basedOn w:val="35"/>
    <w:link w:val="18"/>
    <w:locked/>
    <w:uiPriority w:val="99"/>
    <w:rPr>
      <w:rFonts w:ascii="宋体" w:hAnsi="宋体" w:eastAsia="宋体" w:cs="Times New Roman"/>
      <w:sz w:val="20"/>
      <w:szCs w:val="20"/>
    </w:rPr>
  </w:style>
  <w:style w:type="character" w:customStyle="1" w:styleId="58">
    <w:name w:val="纯文本 Char1"/>
    <w:basedOn w:val="35"/>
    <w:link w:val="21"/>
    <w:locked/>
    <w:uiPriority w:val="99"/>
    <w:rPr>
      <w:rFonts w:ascii="宋体" w:hAnsi="Courier New" w:eastAsia="宋体" w:cs="Courier New"/>
      <w:sz w:val="21"/>
      <w:szCs w:val="21"/>
    </w:rPr>
  </w:style>
  <w:style w:type="character" w:customStyle="1" w:styleId="59">
    <w:name w:val="日期 Char"/>
    <w:basedOn w:val="35"/>
    <w:link w:val="23"/>
    <w:locked/>
    <w:uiPriority w:val="99"/>
    <w:rPr>
      <w:rFonts w:ascii="Times New Roman" w:hAnsi="Times New Roman" w:eastAsia="宋体" w:cs="Times New Roman"/>
      <w:sz w:val="24"/>
      <w:szCs w:val="24"/>
    </w:rPr>
  </w:style>
  <w:style w:type="character" w:customStyle="1" w:styleId="60">
    <w:name w:val="正文文本缩进 2 Char"/>
    <w:basedOn w:val="35"/>
    <w:link w:val="24"/>
    <w:qFormat/>
    <w:locked/>
    <w:uiPriority w:val="99"/>
    <w:rPr>
      <w:rFonts w:ascii="Times New Roman" w:hAnsi="Times New Roman" w:eastAsia="宋体" w:cs="Times New Roman"/>
      <w:sz w:val="24"/>
      <w:szCs w:val="24"/>
    </w:rPr>
  </w:style>
  <w:style w:type="character" w:customStyle="1" w:styleId="61">
    <w:name w:val="批注框文本 Char"/>
    <w:basedOn w:val="35"/>
    <w:link w:val="25"/>
    <w:locked/>
    <w:uiPriority w:val="99"/>
    <w:rPr>
      <w:rFonts w:ascii="Times New Roman" w:hAnsi="Times New Roman" w:eastAsia="宋体" w:cs="Times New Roman"/>
      <w:kern w:val="0"/>
      <w:sz w:val="18"/>
      <w:szCs w:val="18"/>
    </w:rPr>
  </w:style>
  <w:style w:type="character" w:customStyle="1" w:styleId="62">
    <w:name w:val="页脚 Char"/>
    <w:basedOn w:val="35"/>
    <w:link w:val="26"/>
    <w:locked/>
    <w:uiPriority w:val="99"/>
    <w:rPr>
      <w:rFonts w:ascii="Times New Roman" w:hAnsi="Times New Roman" w:eastAsia="宋体" w:cs="Times New Roman"/>
      <w:sz w:val="18"/>
      <w:szCs w:val="18"/>
    </w:rPr>
  </w:style>
  <w:style w:type="character" w:customStyle="1" w:styleId="63">
    <w:name w:val="页眉 Char"/>
    <w:basedOn w:val="35"/>
    <w:link w:val="27"/>
    <w:locked/>
    <w:uiPriority w:val="99"/>
    <w:rPr>
      <w:rFonts w:ascii="Times New Roman" w:hAnsi="Times New Roman" w:eastAsia="宋体" w:cs="Times New Roman"/>
      <w:sz w:val="18"/>
      <w:szCs w:val="18"/>
    </w:rPr>
  </w:style>
  <w:style w:type="character" w:customStyle="1" w:styleId="64">
    <w:name w:val="文档结构图 Char1"/>
    <w:basedOn w:val="35"/>
    <w:uiPriority w:val="99"/>
    <w:rPr>
      <w:rFonts w:ascii="宋体" w:hAnsi="Times New Roman" w:eastAsia="宋体" w:cs="Times New Roman"/>
      <w:sz w:val="18"/>
      <w:szCs w:val="18"/>
    </w:rPr>
  </w:style>
  <w:style w:type="character" w:customStyle="1" w:styleId="65">
    <w:name w:val="日期 Char1"/>
    <w:basedOn w:val="35"/>
    <w:locked/>
    <w:uiPriority w:val="99"/>
    <w:rPr>
      <w:rFonts w:ascii="Times New Roman" w:hAnsi="Times New Roman" w:eastAsia="宋体" w:cs="Times New Roman"/>
      <w:sz w:val="24"/>
      <w:szCs w:val="24"/>
    </w:rPr>
  </w:style>
  <w:style w:type="paragraph" w:customStyle="1" w:styleId="66">
    <w:name w:val="修订1"/>
    <w:hidden/>
    <w:semiHidden/>
    <w:uiPriority w:val="99"/>
    <w:rPr>
      <w:rFonts w:ascii="Times New Roman" w:hAnsi="Times New Roman" w:eastAsia="宋体" w:cs="Times New Roman"/>
      <w:kern w:val="2"/>
      <w:sz w:val="21"/>
      <w:szCs w:val="24"/>
      <w:lang w:val="en-US" w:eastAsia="zh-CN" w:bidi="ar-SA"/>
    </w:rPr>
  </w:style>
  <w:style w:type="character" w:customStyle="1" w:styleId="67">
    <w:name w:val="标题 1 Char1"/>
    <w:basedOn w:val="35"/>
    <w:uiPriority w:val="99"/>
    <w:rPr>
      <w:rFonts w:eastAsia="宋体" w:cs="Times New Roman"/>
      <w:b/>
      <w:bCs/>
      <w:kern w:val="44"/>
      <w:sz w:val="44"/>
      <w:szCs w:val="44"/>
    </w:rPr>
  </w:style>
  <w:style w:type="character" w:customStyle="1" w:styleId="68">
    <w:name w:val="标题 2 Char1"/>
    <w:basedOn w:val="35"/>
    <w:semiHidden/>
    <w:qFormat/>
    <w:uiPriority w:val="99"/>
    <w:rPr>
      <w:rFonts w:ascii="Cambria" w:hAnsi="Cambria" w:eastAsia="宋体" w:cs="Times New Roman"/>
      <w:b/>
      <w:bCs/>
      <w:kern w:val="2"/>
      <w:sz w:val="32"/>
      <w:szCs w:val="32"/>
    </w:rPr>
  </w:style>
  <w:style w:type="character" w:customStyle="1" w:styleId="69">
    <w:name w:val="正文文本缩进 Char"/>
    <w:basedOn w:val="35"/>
    <w:qFormat/>
    <w:locked/>
    <w:uiPriority w:val="99"/>
    <w:rPr>
      <w:rFonts w:ascii="Times New Roman" w:hAnsi="Times New Roman" w:eastAsia="宋体" w:cs="Times New Roman"/>
      <w:sz w:val="24"/>
      <w:szCs w:val="24"/>
    </w:rPr>
  </w:style>
  <w:style w:type="character" w:customStyle="1" w:styleId="70">
    <w:name w:val="纯文本 Char"/>
    <w:qFormat/>
    <w:locked/>
    <w:uiPriority w:val="99"/>
    <w:rPr>
      <w:rFonts w:ascii="宋体" w:hAnsi="Courier New"/>
      <w:sz w:val="21"/>
    </w:rPr>
  </w:style>
  <w:style w:type="paragraph" w:customStyle="1" w:styleId="71">
    <w:name w:val="列出段落1"/>
    <w:basedOn w:val="1"/>
    <w:uiPriority w:val="99"/>
    <w:pPr>
      <w:ind w:firstLine="420" w:firstLineChars="200"/>
    </w:pPr>
  </w:style>
  <w:style w:type="paragraph" w:customStyle="1" w:styleId="72">
    <w:name w:val="Default"/>
    <w:uiPriority w:val="99"/>
    <w:pPr>
      <w:widowControl w:val="0"/>
      <w:autoSpaceDE w:val="0"/>
      <w:autoSpaceDN w:val="0"/>
      <w:adjustRightInd w:val="0"/>
    </w:pPr>
    <w:rPr>
      <w:rFonts w:ascii="华文细黑" w:hAnsi="Times New Roman" w:eastAsia="华文细黑" w:cs="华文细黑"/>
      <w:color w:val="000000"/>
      <w:sz w:val="24"/>
      <w:szCs w:val="24"/>
      <w:lang w:val="en-US" w:eastAsia="zh-CN" w:bidi="ar-SA"/>
    </w:rPr>
  </w:style>
  <w:style w:type="paragraph" w:customStyle="1" w:styleId="73">
    <w:name w:val="Char"/>
    <w:basedOn w:val="1"/>
    <w:uiPriority w:val="99"/>
    <w:pPr>
      <w:widowControl/>
      <w:spacing w:after="160" w:line="240" w:lineRule="exact"/>
      <w:jc w:val="left"/>
    </w:pPr>
    <w:rPr>
      <w:rFonts w:ascii="Verdana" w:hAnsi="Verdana" w:eastAsia="仿宋_GB2312"/>
      <w:spacing w:val="-4"/>
      <w:kern w:val="0"/>
      <w:sz w:val="24"/>
      <w:szCs w:val="20"/>
      <w:lang w:eastAsia="en-US"/>
    </w:rPr>
  </w:style>
  <w:style w:type="paragraph" w:customStyle="1" w:styleId="74">
    <w:name w:val="列出段落11"/>
    <w:basedOn w:val="1"/>
    <w:uiPriority w:val="99"/>
    <w:pPr>
      <w:ind w:firstLine="420" w:firstLineChars="200"/>
    </w:pPr>
    <w:rPr>
      <w:rFonts w:ascii="Calibri" w:hAnsi="Calibri"/>
      <w:szCs w:val="22"/>
    </w:rPr>
  </w:style>
  <w:style w:type="paragraph" w:customStyle="1" w:styleId="75">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76">
    <w:name w:val="常用（宋体，5号，1.25行距）"/>
    <w:basedOn w:val="1"/>
    <w:qFormat/>
    <w:uiPriority w:val="99"/>
    <w:pPr>
      <w:spacing w:line="300" w:lineRule="auto"/>
    </w:pPr>
    <w:rPr>
      <w:kern w:val="0"/>
      <w:szCs w:val="21"/>
    </w:rPr>
  </w:style>
  <w:style w:type="paragraph" w:customStyle="1" w:styleId="77">
    <w:name w:val="修订2"/>
    <w:semiHidden/>
    <w:uiPriority w:val="99"/>
    <w:rPr>
      <w:rFonts w:ascii="Times New Roman" w:hAnsi="Times New Roman" w:eastAsia="宋体" w:cs="Times New Roman"/>
      <w:kern w:val="2"/>
      <w:sz w:val="21"/>
      <w:szCs w:val="24"/>
      <w:lang w:val="en-US" w:eastAsia="zh-CN" w:bidi="ar-SA"/>
    </w:rPr>
  </w:style>
  <w:style w:type="paragraph" w:customStyle="1" w:styleId="78">
    <w:name w:val="列出段落2"/>
    <w:basedOn w:val="1"/>
    <w:uiPriority w:val="99"/>
    <w:pPr>
      <w:ind w:firstLine="420" w:firstLineChars="200"/>
    </w:pPr>
  </w:style>
  <w:style w:type="paragraph" w:customStyle="1" w:styleId="79">
    <w:name w:val="1"/>
    <w:basedOn w:val="1"/>
    <w:uiPriority w:val="99"/>
    <w:pPr>
      <w:widowControl/>
      <w:spacing w:after="160" w:line="240" w:lineRule="exact"/>
      <w:jc w:val="left"/>
    </w:pPr>
    <w:rPr>
      <w:rFonts w:ascii="Verdana" w:hAnsi="Verdana" w:eastAsia="仿宋_GB2312"/>
      <w:spacing w:val="-4"/>
      <w:kern w:val="0"/>
      <w:sz w:val="24"/>
      <w:szCs w:val="20"/>
      <w:lang w:eastAsia="en-US"/>
    </w:rPr>
  </w:style>
  <w:style w:type="paragraph" w:customStyle="1" w:styleId="80">
    <w:name w:val="p0"/>
    <w:basedOn w:val="1"/>
    <w:uiPriority w:val="99"/>
    <w:pPr>
      <w:widowControl/>
    </w:pPr>
    <w:rPr>
      <w:kern w:val="0"/>
      <w:szCs w:val="21"/>
    </w:rPr>
  </w:style>
  <w:style w:type="character" w:customStyle="1" w:styleId="81">
    <w:name w:val="栋森 Char"/>
    <w:basedOn w:val="52"/>
    <w:link w:val="82"/>
    <w:locked/>
    <w:uiPriority w:val="99"/>
    <w:rPr>
      <w:rFonts w:ascii="Times New Roman" w:hAnsi="Times New Roman" w:eastAsia="宋体" w:cs="Times New Roman"/>
      <w:sz w:val="24"/>
      <w:szCs w:val="24"/>
    </w:rPr>
  </w:style>
  <w:style w:type="paragraph" w:customStyle="1" w:styleId="82">
    <w:name w:val="栋森"/>
    <w:basedOn w:val="12"/>
    <w:link w:val="81"/>
    <w:uiPriority w:val="99"/>
  </w:style>
  <w:style w:type="paragraph" w:customStyle="1" w:styleId="83">
    <w:name w:val="7 Char"/>
    <w:basedOn w:val="1"/>
    <w:qFormat/>
    <w:uiPriority w:val="99"/>
    <w:rPr>
      <w:rFonts w:ascii="Tahoma" w:hAnsi="Tahoma"/>
      <w:sz w:val="24"/>
      <w:szCs w:val="20"/>
    </w:rPr>
  </w:style>
  <w:style w:type="character" w:customStyle="1" w:styleId="84">
    <w:name w:val="纯文本 Char2"/>
    <w:qFormat/>
    <w:locked/>
    <w:uiPriority w:val="99"/>
    <w:rPr>
      <w:rFonts w:ascii="宋体" w:hAnsi="Courier New" w:eastAsia="宋体"/>
      <w:sz w:val="21"/>
    </w:rPr>
  </w:style>
  <w:style w:type="character" w:customStyle="1" w:styleId="85">
    <w:name w:val="普通文字 Char Char"/>
    <w:qFormat/>
    <w:locked/>
    <w:uiPriority w:val="99"/>
    <w:rPr>
      <w:rFonts w:ascii="宋体" w:hAnsi="Courier New" w:eastAsia="宋体"/>
      <w:sz w:val="21"/>
    </w:rPr>
  </w:style>
  <w:style w:type="paragraph" w:customStyle="1" w:styleId="86">
    <w:name w:val="List Paragraph"/>
    <w:basedOn w:val="1"/>
    <w:link w:val="87"/>
    <w:qFormat/>
    <w:uiPriority w:val="34"/>
    <w:pPr>
      <w:ind w:firstLine="420" w:firstLineChars="200"/>
    </w:pPr>
    <w:rPr>
      <w:rFonts w:ascii="Calibri" w:hAnsi="Calibri"/>
      <w:szCs w:val="22"/>
    </w:rPr>
  </w:style>
  <w:style w:type="character" w:customStyle="1" w:styleId="87">
    <w:name w:val="列出段落 Char"/>
    <w:basedOn w:val="35"/>
    <w:link w:val="86"/>
    <w:qFormat/>
    <w:uiPriority w:val="34"/>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北京筑龙</Company>
  <Pages>6</Pages>
  <Words>380</Words>
  <Characters>2168</Characters>
  <Lines>18</Lines>
  <Paragraphs>5</Paragraphs>
  <TotalTime>0</TotalTime>
  <ScaleCrop>false</ScaleCrop>
  <LinksUpToDate>false</LinksUpToDate>
  <CharactersWithSpaces>2543</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2019-11-06T07:04:00Z</dcterms:created>
  <dc:creator>快节奏</dc:creator>
  <cp:lastModifiedBy>杨振鸿</cp:lastModifiedBy>
  <cp:lastPrinted>2019-11-07T03:18:00Z</cp:lastPrinted>
  <dcterms:modified xsi:type="dcterms:W3CDTF">2022-04-02T06:47:56Z</dcterms:modified>
  <dc:title>工程编号： </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